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net20250930_10q.htm"/>
      <w:bookmarkStart w:id="1" w:name="kscnet20250930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 to 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001-34647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ZW Data Action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Nevada</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20-4672080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8/F. 29 Des Voeux Road Central, Central,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Hong Kong</w:t>
      </w:r>
      <w:r>
        <w:rPr>
          <w:rFonts w:ascii="Times New Roman" w:hAnsi="Times New Roman"/>
          <w:caps w:val="false"/>
          <w:smallCaps w:val="false"/>
          <w:sz w:val="20"/>
        </w:rPr>
        <w:t> </w:t>
      </w:r>
      <w:r>
        <w:rPr>
          <w:rFonts w:ascii="Times New Roman" w:hAnsi="Times New Roman"/>
          <w:b/>
          <w:caps w:val="false"/>
          <w:smallCaps w:val="false"/>
          <w:sz w:val="20"/>
        </w:rPr>
        <w:t>Special Administrative Region of the People</w:t>
      </w:r>
      <w:r>
        <w:rPr>
          <w:rFonts w:ascii="Times New Roman" w:hAnsi="Times New Roman"/>
          <w:caps w:val="false"/>
          <w:smallCaps w:val="false"/>
          <w:sz w:val="20"/>
        </w:rPr>
        <w:t>’</w:t>
      </w:r>
      <w:r>
        <w:rPr>
          <w:rFonts w:ascii="Times New Roman" w:hAnsi="Times New Roman"/>
          <w:b/>
          <w:caps w:val="false"/>
          <w:smallCaps w:val="false"/>
          <w:sz w:val="20"/>
        </w:rPr>
        <w:t>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+852 2669-8078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CNET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390"/>
        <w:gridCol w:w="2885"/>
      </w:tblGrid>
      <w:tr>
        <w:trPr/>
        <w:tc>
          <w:tcPr>
            <w:tcW w:w="2390" w:type="dxa"/>
            <w:tcBorders/>
            <w:vAlign w:val="center"/>
          </w:tcPr>
          <w:p>
            <w:pPr>
              <w:pStyle w:val="TableContents"/>
              <w:bidi w:val="0"/>
              <w:spacing w:before="0" w:after="283"/>
              <w:jc w:val="left"/>
              <w:rPr/>
            </w:pPr>
            <w:r>
              <w:rPr/>
              <w:t>Large accelerated filer ☐</w:t>
            </w:r>
          </w:p>
        </w:tc>
        <w:tc>
          <w:tcPr>
            <w:tcW w:w="2885" w:type="dxa"/>
            <w:tcBorders/>
            <w:vAlign w:val="center"/>
          </w:tcPr>
          <w:p>
            <w:pPr>
              <w:pStyle w:val="TableContents"/>
              <w:bidi w:val="0"/>
              <w:spacing w:before="0" w:after="283"/>
              <w:jc w:val="left"/>
              <w:rPr/>
            </w:pPr>
            <w:r>
              <w:rPr/>
              <w:t>Accelerated filer ☐</w:t>
            </w:r>
          </w:p>
        </w:tc>
      </w:tr>
      <w:tr>
        <w:trPr/>
        <w:tc>
          <w:tcPr>
            <w:tcW w:w="2390" w:type="dxa"/>
            <w:tcBorders/>
            <w:vAlign w:val="center"/>
          </w:tcPr>
          <w:p>
            <w:pPr>
              <w:pStyle w:val="TableContents"/>
              <w:bidi w:val="0"/>
              <w:spacing w:before="0" w:after="283"/>
              <w:jc w:val="left"/>
              <w:rPr/>
            </w:pPr>
            <w:r>
              <w:rPr/>
              <w:t>Non-accelerated filer ☒</w:t>
            </w:r>
          </w:p>
        </w:tc>
        <w:tc>
          <w:tcPr>
            <w:tcW w:w="2885" w:type="dxa"/>
            <w:tcBorders/>
            <w:vAlign w:val="center"/>
          </w:tcPr>
          <w:p>
            <w:pPr>
              <w:pStyle w:val="TableContents"/>
              <w:bidi w:val="0"/>
              <w:spacing w:before="0" w:after="283"/>
              <w:jc w:val="left"/>
              <w:rPr/>
            </w:pPr>
            <w:r>
              <w:rPr/>
              <w:t>Smaller reporting company ☒</w:t>
            </w:r>
          </w:p>
        </w:tc>
      </w:tr>
      <w:tr>
        <w:trPr/>
        <w:tc>
          <w:tcPr>
            <w:tcW w:w="23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14, 2025, the registrant had 3,268,469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585"/>
        <w:gridCol w:w="560"/>
      </w:tblGrid>
      <w:tr>
        <w:trPr/>
        <w:tc>
          <w:tcPr>
            <w:tcW w:w="9645"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PART I. FINANCIAL INFORMATION</w:t>
              </w:r>
            </w:hyperlink>
          </w:p>
        </w:tc>
        <w:tc>
          <w:tcPr>
            <w:tcW w:w="5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 Interim Financial Statements</w:t>
              </w:r>
            </w:hyperlink>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left"/>
              <w:rPr/>
            </w:pPr>
            <w:hyperlink w:anchor="balance_sheets_1">
              <w:r>
                <w:rPr>
                  <w:rStyle w:val="InternetLink"/>
                  <w:rFonts w:ascii="Times New Roman" w:hAnsi="Times New Roman"/>
                  <w:caps w:val="false"/>
                  <w:smallCaps w:val="false"/>
                  <w:sz w:val="20"/>
                </w:rPr>
                <w:t>Condensed Consolidated Balance Sheets as of September 30, 2025 (Unaudited) and December 31, 2024</w:t>
              </w:r>
            </w:hyperlink>
          </w:p>
        </w:tc>
        <w:tc>
          <w:tcPr>
            <w:tcW w:w="560" w:type="dxa"/>
            <w:tcBorders/>
            <w:vAlign w:val="center"/>
          </w:tcPr>
          <w:p>
            <w:pPr>
              <w:pStyle w:val="TableContents"/>
              <w:bidi w:val="0"/>
              <w:spacing w:before="0" w:after="0"/>
              <w:ind w:left="0" w:right="0" w:hanging="0"/>
              <w:jc w:val="center"/>
              <w:rPr/>
            </w:pPr>
            <w:hyperlink w:anchor="balance_sheets_1">
              <w:r>
                <w:rPr>
                  <w:rStyle w:val="InternetLink"/>
                  <w:rFonts w:ascii="Times New Roman" w:hAnsi="Times New Roman"/>
                  <w:caps w:val="false"/>
                  <w:smallCaps w:val="false"/>
                  <w:sz w:val="20"/>
                </w:rPr>
                <w:t>1</w:t>
              </w:r>
            </w:hyperlink>
            <w:r>
              <w:rPr>
                <w:rFonts w:ascii="Times New Roman" w:hAnsi="Times New Roman"/>
                <w:caps w:val="false"/>
                <w:smallCaps w:val="false"/>
                <w:sz w:val="20"/>
              </w:rPr>
              <w:t>-</w:t>
            </w:r>
            <w:hyperlink w:anchor="balance_sheets_2">
              <w:r>
                <w:rPr>
                  <w:rStyle w:val="InternetLink"/>
                  <w:rFonts w:ascii="Times New Roman" w:hAnsi="Times New Roman"/>
                  <w:caps w:val="false"/>
                  <w:smallCaps w:val="false"/>
                  <w:sz w:val="20"/>
                </w:rPr>
                <w:t>2</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loss_1">
              <w:r>
                <w:rPr>
                  <w:rStyle w:val="InternetLink"/>
                  <w:rFonts w:ascii="Times New Roman" w:hAnsi="Times New Roman"/>
                  <w:caps w:val="false"/>
                  <w:smallCaps w:val="false"/>
                  <w:sz w:val="20"/>
                </w:rPr>
                <w:t>Condensed Consolidated Statements of Operations and Comprehensive Loss for the Nine and Three Months Ended September 30, 2025 and 2024 (Unaudited)</w:t>
              </w:r>
            </w:hyperlink>
          </w:p>
        </w:tc>
        <w:tc>
          <w:tcPr>
            <w:tcW w:w="560" w:type="dxa"/>
            <w:tcBorders/>
            <w:vAlign w:val="center"/>
          </w:tcPr>
          <w:p>
            <w:pPr>
              <w:pStyle w:val="TableContents"/>
              <w:bidi w:val="0"/>
              <w:spacing w:before="0" w:after="0"/>
              <w:ind w:left="0" w:right="0" w:hanging="0"/>
              <w:jc w:val="center"/>
              <w:rPr/>
            </w:pPr>
            <w:hyperlink w:anchor="loss_1">
              <w:r>
                <w:rPr>
                  <w:rStyle w:val="InternetLink"/>
                  <w:rFonts w:ascii="Times New Roman" w:hAnsi="Times New Roman"/>
                  <w:caps w:val="false"/>
                  <w:smallCaps w:val="false"/>
                  <w:sz w:val="20"/>
                </w:rPr>
                <w:t>3</w:t>
              </w:r>
            </w:hyperlink>
            <w:r>
              <w:rPr>
                <w:rFonts w:ascii="Times New Roman" w:hAnsi="Times New Roman"/>
                <w:caps w:val="false"/>
                <w:smallCaps w:val="false"/>
                <w:sz w:val="20"/>
              </w:rPr>
              <w:t>-</w:t>
            </w:r>
            <w:hyperlink w:anchor="loss_2">
              <w:r>
                <w:rPr>
                  <w:rStyle w:val="InternetLink"/>
                  <w:rFonts w:ascii="Times New Roman" w:hAnsi="Times New Roman"/>
                  <w:caps w:val="false"/>
                  <w:smallCaps w:val="false"/>
                  <w:sz w:val="20"/>
                </w:rPr>
                <w:t>4</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cash_flows_1">
              <w:r>
                <w:rPr>
                  <w:rStyle w:val="InternetLink"/>
                  <w:rFonts w:ascii="Times New Roman" w:hAnsi="Times New Roman"/>
                  <w:caps w:val="false"/>
                  <w:smallCaps w:val="false"/>
                  <w:sz w:val="20"/>
                </w:rPr>
                <w:t>Condensed Consolidated Statements of Cash Flows for the Nine Months Ended September 30, 2025 and 2024 (Unaudited)</w:t>
              </w:r>
            </w:hyperlink>
          </w:p>
        </w:tc>
        <w:tc>
          <w:tcPr>
            <w:tcW w:w="560" w:type="dxa"/>
            <w:tcBorders/>
            <w:vAlign w:val="center"/>
          </w:tcPr>
          <w:p>
            <w:pPr>
              <w:pStyle w:val="TableContents"/>
              <w:bidi w:val="0"/>
              <w:spacing w:before="0" w:after="0"/>
              <w:ind w:left="0" w:right="0" w:hanging="0"/>
              <w:jc w:val="center"/>
              <w:rPr/>
            </w:pPr>
            <w:hyperlink w:anchor="cash_flows_1">
              <w:r>
                <w:rPr>
                  <w:rStyle w:val="InternetLink"/>
                  <w:rFonts w:ascii="Times New Roman" w:hAnsi="Times New Roman"/>
                  <w:caps w:val="false"/>
                  <w:smallCaps w:val="false"/>
                  <w:sz w:val="20"/>
                </w:rPr>
                <w:t>5</w:t>
              </w:r>
            </w:hyperlink>
            <w:r>
              <w:rPr>
                <w:rFonts w:ascii="Times New Roman" w:hAnsi="Times New Roman"/>
                <w:caps w:val="false"/>
                <w:smallCaps w:val="false"/>
                <w:sz w:val="20"/>
              </w:rPr>
              <w:t>-</w:t>
            </w:r>
            <w:hyperlink w:anchor="cash_flows_2">
              <w:r>
                <w:rPr>
                  <w:rStyle w:val="InternetLink"/>
                  <w:rFonts w:ascii="Times New Roman" w:hAnsi="Times New Roman"/>
                  <w:caps w:val="false"/>
                  <w:smallCaps w:val="false"/>
                  <w:sz w:val="20"/>
                </w:rPr>
                <w:t>6</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equity_1">
              <w:r>
                <w:rPr>
                  <w:rStyle w:val="InternetLink"/>
                  <w:rFonts w:ascii="Times New Roman" w:hAnsi="Times New Roman"/>
                  <w:caps w:val="false"/>
                  <w:smallCaps w:val="false"/>
                  <w:sz w:val="20"/>
                </w:rPr>
                <w:t>Condensed Consolidated Statements of Changes in Equity for the Nine and Three Months Ended September 30, 2025 and 2024 (Unaudited)</w:t>
              </w:r>
            </w:hyperlink>
          </w:p>
        </w:tc>
        <w:tc>
          <w:tcPr>
            <w:tcW w:w="560" w:type="dxa"/>
            <w:tcBorders/>
            <w:vAlign w:val="center"/>
          </w:tcPr>
          <w:p>
            <w:pPr>
              <w:pStyle w:val="TableContents"/>
              <w:bidi w:val="0"/>
              <w:spacing w:before="0" w:after="0"/>
              <w:ind w:left="0" w:right="0" w:hanging="0"/>
              <w:jc w:val="center"/>
              <w:rPr/>
            </w:pPr>
            <w:hyperlink w:anchor="equity_1">
              <w:r>
                <w:rPr>
                  <w:rStyle w:val="InternetLink"/>
                  <w:rFonts w:ascii="Times New Roman" w:hAnsi="Times New Roman"/>
                  <w:caps w:val="false"/>
                  <w:smallCaps w:val="false"/>
                  <w:sz w:val="20"/>
                </w:rPr>
                <w:t>7</w:t>
              </w:r>
            </w:hyperlink>
            <w:r>
              <w:rPr>
                <w:rFonts w:ascii="Times New Roman" w:hAnsi="Times New Roman"/>
                <w:caps w:val="false"/>
                <w:smallCaps w:val="false"/>
                <w:sz w:val="20"/>
              </w:rPr>
              <w:t>-</w:t>
            </w:r>
            <w:hyperlink w:anchor="equity_2">
              <w:r>
                <w:rPr>
                  <w:rStyle w:val="InternetLink"/>
                  <w:rFonts w:ascii="Times New Roman" w:hAnsi="Times New Roman"/>
                  <w:caps w:val="false"/>
                  <w:smallCaps w:val="false"/>
                  <w:sz w:val="20"/>
                </w:rPr>
                <w:t>8</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left"/>
              <w:rPr/>
            </w:pPr>
            <w:hyperlink w:anchor="notes_start">
              <w:r>
                <w:rPr>
                  <w:rStyle w:val="InternetLink"/>
                  <w:rFonts w:ascii="Times New Roman" w:hAnsi="Times New Roman"/>
                  <w:caps w:val="false"/>
                  <w:smallCaps w:val="false"/>
                  <w:sz w:val="20"/>
                </w:rPr>
                <w:t>Notes to Condensed Consolidated Financial Statements (Unaudited)</w:t>
              </w:r>
            </w:hyperlink>
          </w:p>
        </w:tc>
        <w:tc>
          <w:tcPr>
            <w:tcW w:w="560" w:type="dxa"/>
            <w:tcBorders/>
            <w:vAlign w:val="center"/>
          </w:tcPr>
          <w:p>
            <w:pPr>
              <w:pStyle w:val="TableContents"/>
              <w:bidi w:val="0"/>
              <w:spacing w:before="0" w:after="0"/>
              <w:ind w:left="0" w:right="0" w:hanging="0"/>
              <w:jc w:val="center"/>
              <w:rPr/>
            </w:pPr>
            <w:hyperlink w:anchor="notes_start">
              <w:r>
                <w:rPr>
                  <w:rStyle w:val="InternetLink"/>
                  <w:rFonts w:ascii="Times New Roman" w:hAnsi="Times New Roman"/>
                  <w:caps w:val="false"/>
                  <w:smallCaps w:val="false"/>
                  <w:sz w:val="20"/>
                </w:rPr>
                <w:t>9</w:t>
              </w:r>
            </w:hyperlink>
            <w:r>
              <w:rPr>
                <w:rFonts w:ascii="Times New Roman" w:hAnsi="Times New Roman"/>
                <w:caps w:val="false"/>
                <w:smallCaps w:val="false"/>
                <w:sz w:val="20"/>
              </w:rPr>
              <w:t>-</w:t>
            </w:r>
            <w:hyperlink w:anchor="notes_end">
              <w:r>
                <w:rPr>
                  <w:rStyle w:val="InternetLink"/>
                  <w:rFonts w:ascii="Times New Roman" w:hAnsi="Times New Roman"/>
                  <w:caps w:val="false"/>
                  <w:smallCaps w:val="false"/>
                  <w:sz w:val="20"/>
                </w:rPr>
                <w:t>27</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2_start">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center"/>
              <w:rPr/>
            </w:pPr>
            <w:hyperlink w:anchor="i2_start">
              <w:r>
                <w:rPr>
                  <w:rStyle w:val="InternetLink"/>
                  <w:rFonts w:ascii="Times New Roman" w:hAnsi="Times New Roman"/>
                  <w:caps w:val="false"/>
                  <w:smallCaps w:val="false"/>
                  <w:sz w:val="20"/>
                </w:rPr>
                <w:t>28</w:t>
              </w:r>
            </w:hyperlink>
            <w:r>
              <w:rPr>
                <w:rFonts w:ascii="Times New Roman" w:hAnsi="Times New Roman"/>
                <w:caps w:val="false"/>
                <w:smallCaps w:val="false"/>
                <w:sz w:val="20"/>
              </w:rPr>
              <w:t>-</w:t>
            </w:r>
            <w:hyperlink w:anchor="i2_end">
              <w:r>
                <w:rPr>
                  <w:rStyle w:val="InternetLink"/>
                  <w:rFonts w:ascii="Times New Roman" w:hAnsi="Times New Roman"/>
                  <w:caps w:val="false"/>
                  <w:smallCaps w:val="false"/>
                  <w:sz w:val="20"/>
                </w:rPr>
                <w:t>39</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center"/>
              <w:rPr/>
            </w:pPr>
            <w:hyperlink w:anchor="i3">
              <w:r>
                <w:rPr>
                  <w:rStyle w:val="InternetLink"/>
                  <w:rFonts w:ascii="Times New Roman" w:hAnsi="Times New Roman"/>
                  <w:caps w:val="false"/>
                  <w:smallCaps w:val="false"/>
                  <w:sz w:val="20"/>
                </w:rPr>
                <w:t>39</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center"/>
              <w:rPr/>
            </w:pPr>
            <w:hyperlink w:anchor="i4">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 OTHER INFORMATION</w:t>
              </w:r>
            </w:hyperlink>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40</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560"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40</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42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bookmarkStart w:id="2" w:name="P1"/>
      <w:bookmarkEnd w:id="2"/>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Interim Financial Statements</w:t>
      </w:r>
      <w:bookmarkStart w:id="3" w:name="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(the</w:t>
      </w:r>
      <w:r>
        <w:rPr>
          <w:rFonts w:ascii="Times New Roman" w:hAnsi="Times New Roman"/>
          <w:caps w:val="false"/>
          <w:smallCaps w:val="false"/>
          <w:sz w:val="20"/>
        </w:rPr>
        <w:t> “</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 xml:space="preserve">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Each year, the PCAOB will determine whether it can inspect and investigate completely audit firms in mainland China and Hong Kong, among other jurisdictions.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4" w:name="balance_sheets_1"/>
      <w:bookmarkEnd w:id="4"/>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9823" w:type="dxa"/>
        <w:jc w:val="left"/>
        <w:tblInd w:w="0" w:type="dxa"/>
        <w:tblLayout w:type="fixed"/>
        <w:tblCellMar>
          <w:top w:w="0" w:type="dxa"/>
          <w:left w:w="0" w:type="dxa"/>
          <w:bottom w:w="0" w:type="dxa"/>
          <w:right w:w="0" w:type="dxa"/>
        </w:tblCellMar>
      </w:tblPr>
      <w:tblGrid>
        <w:gridCol w:w="7100"/>
        <w:gridCol w:w="60"/>
        <w:gridCol w:w="258"/>
        <w:gridCol w:w="1006"/>
        <w:gridCol w:w="60"/>
        <w:gridCol w:w="60"/>
        <w:gridCol w:w="249"/>
        <w:gridCol w:w="970"/>
        <w:gridCol w:w="6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 of $5,175 and $4,817, respectively</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investors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5" w:name="balance_sheets_2"/>
      <w:bookmarkEnd w:id="5"/>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(CONTINUED)</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9"/>
        <w:gridCol w:w="60"/>
        <w:gridCol w:w="189"/>
        <w:gridCol w:w="903"/>
        <w:gridCol w:w="80"/>
        <w:gridCol w:w="60"/>
        <w:gridCol w:w="166"/>
        <w:gridCol w:w="865"/>
        <w:gridCol w:w="83"/>
      </w:tblGrid>
      <w:tr>
        <w:trPr/>
        <w:tc>
          <w:tcPr>
            <w:tcW w:w="7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3" w:type="dxa"/>
            <w:tcBorders/>
            <w:vAlign w:val="center"/>
          </w:tcPr>
          <w:p>
            <w:pPr>
              <w:pStyle w:val="TableContents"/>
              <w:bidi w:val="0"/>
              <w:spacing w:before="0" w:after="283"/>
              <w:jc w:val="left"/>
              <w:rPr/>
            </w:pPr>
            <w:r>
              <w:rPr/>
              <w:t> </w:t>
            </w:r>
          </w:p>
        </w:tc>
      </w:tr>
      <w:tr>
        <w:trPr/>
        <w:tc>
          <w:tcPr>
            <w:tcW w:w="7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 non-current portion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borrowing from a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5,968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ZW Data Action Technologies Inc.’s stockholders’ equity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(US$0.001 par value; authorized 12,500,000 shares; issued and outstanding 2,659,629 shares and 2,301,205 shares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reserves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3" w:type="dxa"/>
            <w:tcBorders/>
            <w:shd w:fill="CCEEFF" w:val="cle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9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3,658</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3,718</w:t>
            </w:r>
          </w:p>
        </w:tc>
        <w:tc>
          <w:tcPr>
            <w:tcW w:w="83" w:type="dxa"/>
            <w:tcBorders/>
            <w:shd w:fill="FFFFFF" w:val="clear"/>
            <w:vAlign w:val="center"/>
          </w:tcPr>
          <w:p>
            <w:pPr>
              <w:pStyle w:val="TableContents"/>
              <w:bidi w:val="0"/>
              <w:spacing w:before="0" w:after="283"/>
              <w:jc w:val="left"/>
              <w:rPr/>
            </w:pPr>
            <w:r>
              <w:rPr/>
              <w:t> </w:t>
            </w:r>
          </w:p>
        </w:tc>
      </w:tr>
      <w:tr>
        <w:trPr/>
        <w:tc>
          <w:tcPr>
            <w:tcW w:w="77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9,686</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Liabilities recognized as a result of consolidating these VIEs do not represent additional claims on the Company’s general assets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6" w:name="loss_1"/>
      <w:bookmarkEnd w:id="6"/>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21"/>
        <w:gridCol w:w="60"/>
        <w:gridCol w:w="238"/>
        <w:gridCol w:w="945"/>
        <w:gridCol w:w="131"/>
        <w:gridCol w:w="98"/>
        <w:gridCol w:w="238"/>
        <w:gridCol w:w="1006"/>
        <w:gridCol w:w="80"/>
        <w:gridCol w:w="60"/>
        <w:gridCol w:w="267"/>
        <w:gridCol w:w="933"/>
        <w:gridCol w:w="143"/>
        <w:gridCol w:w="108"/>
        <w:gridCol w:w="267"/>
        <w:gridCol w:w="1024"/>
        <w:gridCol w:w="86"/>
      </w:tblGrid>
      <w:tr>
        <w:trPr/>
        <w:tc>
          <w:tcPr>
            <w:tcW w:w="4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3"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2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6" w:type="dxa"/>
            <w:tcBorders/>
            <w:vAlign w:val="center"/>
          </w:tcPr>
          <w:p>
            <w:pPr>
              <w:pStyle w:val="TableContents"/>
              <w:bidi w:val="0"/>
              <w:spacing w:before="0" w:after="283"/>
              <w:jc w:val="left"/>
              <w:rPr/>
            </w:pPr>
            <w:r>
              <w:rPr/>
              <w:t> </w:t>
            </w:r>
          </w:p>
        </w:tc>
      </w:tr>
      <w:tr>
        <w:trPr/>
        <w:tc>
          <w:tcPr>
            <w:tcW w:w="4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2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6" w:type="dxa"/>
            <w:tcBorders/>
            <w:vAlign w:val="center"/>
          </w:tcPr>
          <w:p>
            <w:pPr>
              <w:pStyle w:val="TableContents"/>
              <w:bidi w:val="0"/>
              <w:spacing w:before="0" w:after="283"/>
              <w:jc w:val="left"/>
              <w:rPr/>
            </w:pPr>
            <w:r>
              <w:rPr/>
              <w:t> </w:t>
            </w:r>
          </w:p>
        </w:tc>
      </w:tr>
      <w:tr>
        <w:trPr/>
        <w:tc>
          <w:tcPr>
            <w:tcW w:w="4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both"/>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both"/>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both"/>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6" w:type="dxa"/>
            <w:tcBorders/>
            <w:shd w:fill="FFFFFF" w:val="cle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(1,414</w:t>
            </w:r>
          </w:p>
        </w:tc>
        <w:tc>
          <w:tcPr>
            <w:tcW w:w="1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(3,215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1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(1,992</w:t>
            </w:r>
          </w:p>
        </w:tc>
        <w:tc>
          <w:tcPr>
            <w:tcW w:w="8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both"/>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both"/>
              <w:rPr/>
            </w:pPr>
            <w:r>
              <w:rPr/>
              <w:t> </w:t>
            </w:r>
          </w:p>
        </w:tc>
        <w:tc>
          <w:tcPr>
            <w:tcW w:w="14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both"/>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 benefit/(expense) and noncontrolling interests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(1,274</w:t>
            </w:r>
          </w:p>
        </w:tc>
        <w:tc>
          <w:tcPr>
            <w:tcW w:w="1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1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(1,905</w:t>
            </w:r>
          </w:p>
        </w:tc>
        <w:tc>
          <w:tcPr>
            <w:tcW w:w="8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52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(1,275</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8" w:type="dxa"/>
            <w:tcBorders/>
            <w:shd w:fill="CCEEFF" w:val="clear"/>
            <w:vAlign w:val="center"/>
          </w:tcPr>
          <w:p>
            <w:pPr>
              <w:pStyle w:val="TableContents"/>
              <w:bidi w:val="0"/>
              <w:spacing w:before="0" w:after="283"/>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(1,905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7" w:name="loss_2"/>
      <w:bookmarkEnd w:id="7"/>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AND COMPREHENSIVE LOSS </w:t>
      </w:r>
      <w:r>
        <w:rPr>
          <w:rFonts w:ascii="Times New Roman" w:hAnsi="Times New Roman"/>
          <w:caps w:val="false"/>
          <w:smallCaps w:val="false"/>
          <w:sz w:val="20"/>
        </w:rPr>
        <w:t>(</w:t>
      </w:r>
      <w:r>
        <w:rPr>
          <w:rFonts w:ascii="Times New Roman" w:hAnsi="Times New Roman"/>
          <w:b/>
          <w:caps w:val="false"/>
          <w:smallCaps w:val="false"/>
          <w:sz w:val="20"/>
        </w:rPr>
        <w:t>CONTINUED)</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7"/>
        <w:gridCol w:w="60"/>
        <w:gridCol w:w="159"/>
        <w:gridCol w:w="1081"/>
        <w:gridCol w:w="102"/>
        <w:gridCol w:w="76"/>
        <w:gridCol w:w="159"/>
        <w:gridCol w:w="1081"/>
        <w:gridCol w:w="80"/>
        <w:gridCol w:w="60"/>
        <w:gridCol w:w="164"/>
        <w:gridCol w:w="1115"/>
        <w:gridCol w:w="105"/>
        <w:gridCol w:w="78"/>
        <w:gridCol w:w="164"/>
        <w:gridCol w:w="1115"/>
        <w:gridCol w:w="89"/>
      </w:tblGrid>
      <w:tr>
        <w:trPr/>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0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9" w:type="dxa"/>
            <w:tcBorders/>
            <w:vAlign w:val="center"/>
          </w:tcPr>
          <w:p>
            <w:pPr>
              <w:pStyle w:val="TableContents"/>
              <w:bidi w:val="0"/>
              <w:spacing w:before="0" w:after="283"/>
              <w:jc w:val="left"/>
              <w:rPr/>
            </w:pPr>
            <w:r>
              <w:rPr/>
              <w:t> </w:t>
            </w:r>
          </w:p>
        </w:tc>
      </w:tr>
      <w:tr>
        <w:trPr/>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9" w:type="dxa"/>
            <w:tcBorders/>
            <w:vAlign w:val="center"/>
          </w:tcPr>
          <w:p>
            <w:pPr>
              <w:pStyle w:val="TableContents"/>
              <w:bidi w:val="0"/>
              <w:spacing w:before="0" w:after="283"/>
              <w:jc w:val="left"/>
              <w:rPr/>
            </w:pPr>
            <w:r>
              <w:rPr/>
              <w:t> </w:t>
            </w:r>
          </w:p>
        </w:tc>
      </w:tr>
      <w:tr>
        <w:trPr/>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45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45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45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income/(loss)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Loss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ZW Data action Technologies Inc.</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45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45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45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45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45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2,449,564</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1,802,582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2,659,629</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1,805,289</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8" w:name="cash_flows_1"/>
      <w:bookmarkEnd w:id="8"/>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160" w:right="0" w:hanging="0"/>
        <w:jc w:val="center"/>
        <w:rPr>
          <w:caps w:val="false"/>
          <w:smallCaps w:val="false"/>
        </w:rPr>
      </w:pPr>
      <w:r>
        <w:rPr>
          <w:caps w:val="false"/>
          <w:smallCaps w:val="false"/>
        </w:rPr>
        <w:t> </w:t>
      </w:r>
    </w:p>
    <w:tbl>
      <w:tblPr>
        <w:tblW w:w="9043" w:type="dxa"/>
        <w:jc w:val="left"/>
        <w:tblInd w:w="0" w:type="dxa"/>
        <w:tblLayout w:type="fixed"/>
        <w:tblCellMar>
          <w:top w:w="0" w:type="dxa"/>
          <w:left w:w="0" w:type="dxa"/>
          <w:bottom w:w="0" w:type="dxa"/>
          <w:right w:w="0" w:type="dxa"/>
        </w:tblCellMar>
      </w:tblPr>
      <w:tblGrid>
        <w:gridCol w:w="5990"/>
        <w:gridCol w:w="60"/>
        <w:gridCol w:w="246"/>
        <w:gridCol w:w="1073"/>
        <w:gridCol w:w="157"/>
        <w:gridCol w:w="118"/>
        <w:gridCol w:w="246"/>
        <w:gridCol w:w="1073"/>
        <w:gridCol w:w="80"/>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7" w:type="dxa"/>
            <w:tcBorders>
              <w:bottom w:val="single" w:sz="2" w:space="0" w:color="000000"/>
            </w:tcBorders>
            <w:tcMar>
              <w:bottom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5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31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3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both"/>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fixed assets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allowances for credit losses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(income)/losses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(781</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both"/>
              <w:rPr/>
            </w:pPr>
            <w:r>
              <w:rPr/>
              <w:t> </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vehicles, office equipment and leasehold improvement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intellectual property</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and advance to ownership investee entities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disposal of long-term investments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acquired during the period</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deconsolidated during the period</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 for other investing contracts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to unrelated parties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loans and interest income from unrelated parties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9" w:name="cash_flows_2"/>
      <w:bookmarkEnd w:id="9"/>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(CONTINUED)</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160" w:right="0" w:hanging="0"/>
        <w:jc w:val="center"/>
        <w:rPr>
          <w:caps w:val="false"/>
          <w:smallCaps w:val="false"/>
        </w:rPr>
      </w:pPr>
      <w:r>
        <w:rPr>
          <w:caps w:val="false"/>
          <w:smallCaps w:val="false"/>
        </w:rPr>
        <w:t> </w:t>
      </w:r>
    </w:p>
    <w:tbl>
      <w:tblPr>
        <w:tblW w:w="8256" w:type="dxa"/>
        <w:jc w:val="left"/>
        <w:tblInd w:w="0" w:type="dxa"/>
        <w:tblLayout w:type="fixed"/>
        <w:tblCellMar>
          <w:top w:w="0" w:type="dxa"/>
          <w:left w:w="0" w:type="dxa"/>
          <w:bottom w:w="0" w:type="dxa"/>
          <w:right w:w="0" w:type="dxa"/>
        </w:tblCellMar>
      </w:tblPr>
      <w:tblGrid>
        <w:gridCol w:w="5225"/>
        <w:gridCol w:w="60"/>
        <w:gridCol w:w="267"/>
        <w:gridCol w:w="1039"/>
        <w:gridCol w:w="171"/>
        <w:gridCol w:w="128"/>
        <w:gridCol w:w="267"/>
        <w:gridCol w:w="1039"/>
        <w:gridCol w:w="6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1"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1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6"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71"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6"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71"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both"/>
              <w:rPr/>
            </w:pPr>
            <w:r>
              <w:rPr/>
              <w:t> </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investors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contribution from noncontrolling interest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fluctuation on cash and cash equivalents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both"/>
              <w:rPr/>
            </w:pPr>
            <w:r>
              <w:rPr/>
              <w:t> </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completed during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paid</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0" w:name="equity_1"/>
      <w:bookmarkEnd w:id="10"/>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AND THREE MONTHS ENDED SEPTEMBER 30, 2025</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left"/>
        <w:rPr/>
      </w:pPr>
      <w:r>
        <w:rPr/>
        <w:t> </w:t>
      </w:r>
    </w:p>
    <w:tbl>
      <w:tblPr>
        <w:tblW w:w="10215" w:type="dxa"/>
        <w:jc w:val="left"/>
        <w:tblInd w:w="0" w:type="dxa"/>
        <w:tblLayout w:type="fixed"/>
        <w:tblCellMar>
          <w:top w:w="0" w:type="dxa"/>
          <w:left w:w="0" w:type="dxa"/>
          <w:bottom w:w="0" w:type="dxa"/>
          <w:right w:w="0" w:type="dxa"/>
        </w:tblCellMar>
      </w:tblPr>
      <w:tblGrid>
        <w:gridCol w:w="92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80"/>
        <w:gridCol w:w="60"/>
        <w:gridCol w:w="482"/>
        <w:gridCol w:w="888"/>
        <w:gridCol w:w="60"/>
        <w:gridCol w:w="60"/>
        <w:gridCol w:w="213"/>
        <w:gridCol w:w="932"/>
        <w:gridCol w:w="8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for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2,659,629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(64,619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2,659,629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(64,727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3,409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1" w:name="equity_2"/>
      <w:bookmarkEnd w:id="11"/>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AND THREE MONTHS ENDED SEPTEMBER 30, 2024</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left"/>
        <w:rPr>
          <w:caps w:val="false"/>
          <w:smallCaps w:val="false"/>
        </w:rPr>
      </w:pPr>
      <w:r>
        <w:rPr>
          <w:caps w:val="false"/>
          <w:smallCaps w:val="false"/>
        </w:rPr>
        <w:t> </w:t>
      </w:r>
    </w:p>
    <w:tbl>
      <w:tblPr>
        <w:tblW w:w="10595" w:type="dxa"/>
        <w:jc w:val="left"/>
        <w:tblInd w:w="0" w:type="dxa"/>
        <w:tblLayout w:type="fixed"/>
        <w:tblCellMar>
          <w:top w:w="0" w:type="dxa"/>
          <w:left w:w="0" w:type="dxa"/>
          <w:bottom w:w="0" w:type="dxa"/>
          <w:right w:w="0" w:type="dxa"/>
        </w:tblCellMar>
      </w:tblPr>
      <w:tblGrid>
        <w:gridCol w:w="128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80"/>
        <w:gridCol w:w="60"/>
        <w:gridCol w:w="412"/>
        <w:gridCol w:w="958"/>
        <w:gridCol w:w="80"/>
        <w:gridCol w:w="60"/>
        <w:gridCol w:w="213"/>
        <w:gridCol w:w="932"/>
        <w:gridCol w:w="8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6,254</w:t>
            </w:r>
          </w:p>
        </w:tc>
        <w:tc>
          <w:tcPr>
            <w:tcW w:w="8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 in an acquired VIE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contribution from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1,926,205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62,072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(60,756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 exchange for services from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8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Disposal of noncontrolling interests in VIEs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2024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2,301,205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(62,670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4,289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2" w:name="notes_start"/>
      <w:bookmarkEnd w:id="12"/>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170"/>
        <w:gridCol w:w="332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3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Organization and nature of operations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ZW Data Action Technologies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operating subsidiaries,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and engages in intellectual property (“</w:t>
      </w:r>
      <w:r>
        <w:rPr>
          <w:rFonts w:ascii="Times New Roman" w:hAnsi="Times New Roman"/>
          <w:b/>
          <w:caps w:val="false"/>
          <w:smallCaps w:val="false"/>
          <w:sz w:val="20"/>
        </w:rPr>
        <w:t>IP</w:t>
      </w:r>
      <w:r>
        <w:rPr>
          <w:rFonts w:ascii="Times New Roman" w:hAnsi="Times New Roman"/>
          <w:caps w:val="false"/>
          <w:smallCaps w:val="false"/>
          <w:sz w:val="20"/>
        </w:rPr>
        <w:t>”) licensing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Variable interest entities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an operating company in China, but a Nevada holding company with no equity ownership in the VIEs. The Company primarily conducts its operations in China through its PRC subsidiaries, the VIEs, with which the Company has entered into contractual arrangements, and their subsidiaries in China. Summarized below is the information related to the VIEs’ assets and liabilities reported in the Company’s condensed consolidated balance sheets as of September 30, 2025 and December 31, 2024, respectively:</w:t>
      </w:r>
    </w:p>
    <w:p>
      <w:pPr>
        <w:pStyle w:val="TextBody"/>
        <w:bidi w:val="0"/>
        <w:spacing w:before="0" w:after="0"/>
        <w:ind w:left="0" w:right="0" w:hanging="0"/>
        <w:jc w:val="left"/>
        <w:rPr>
          <w:caps w:val="false"/>
          <w:smallCaps w:val="false"/>
        </w:rPr>
      </w:pPr>
      <w:r>
        <w:rPr>
          <w:caps w:val="false"/>
          <w:smallCaps w:val="false"/>
        </w:rPr>
        <w:t> </w:t>
      </w:r>
    </w:p>
    <w:tbl>
      <w:tblPr>
        <w:tblW w:w="5668" w:type="dxa"/>
        <w:jc w:val="left"/>
        <w:tblInd w:w="0" w:type="dxa"/>
        <w:tblLayout w:type="fixed"/>
        <w:tblCellMar>
          <w:top w:w="0" w:type="dxa"/>
          <w:left w:w="0" w:type="dxa"/>
          <w:bottom w:w="0" w:type="dxa"/>
          <w:right w:w="0" w:type="dxa"/>
        </w:tblCellMar>
      </w:tblPr>
      <w:tblGrid>
        <w:gridCol w:w="2975"/>
        <w:gridCol w:w="60"/>
        <w:gridCol w:w="249"/>
        <w:gridCol w:w="970"/>
        <w:gridCol w:w="60"/>
        <w:gridCol w:w="60"/>
        <w:gridCol w:w="249"/>
        <w:gridCol w:w="970"/>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Liabilities recognized as a result of consolidating these VIEs do not represent additional claims on the Company’s general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Summarized below is the information related to the financial performance of the VIEs reported in the Company’s condensed consolidated statements of operations and comprehensive loss for the nine and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8336" w:type="dxa"/>
        <w:jc w:val="left"/>
        <w:tblInd w:w="0" w:type="dxa"/>
        <w:tblLayout w:type="fixed"/>
        <w:tblCellMar>
          <w:top w:w="0" w:type="dxa"/>
          <w:left w:w="0" w:type="dxa"/>
          <w:bottom w:w="0" w:type="dxa"/>
          <w:right w:w="0" w:type="dxa"/>
        </w:tblCellMar>
      </w:tblPr>
      <w:tblGrid>
        <w:gridCol w:w="2075"/>
        <w:gridCol w:w="60"/>
        <w:gridCol w:w="303"/>
        <w:gridCol w:w="706"/>
        <w:gridCol w:w="190"/>
        <w:gridCol w:w="142"/>
        <w:gridCol w:w="297"/>
        <w:gridCol w:w="1296"/>
        <w:gridCol w:w="80"/>
        <w:gridCol w:w="60"/>
        <w:gridCol w:w="373"/>
        <w:gridCol w:w="687"/>
        <w:gridCol w:w="239"/>
        <w:gridCol w:w="179"/>
        <w:gridCol w:w="373"/>
        <w:gridCol w:w="1181"/>
        <w:gridCol w:w="9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0"/>
              <w:jc w:val="left"/>
              <w:rPr/>
            </w:pPr>
            <w:r>
              <w:rPr/>
              <w:t> </w:t>
            </w:r>
          </w:p>
        </w:tc>
        <w:tc>
          <w:tcPr>
            <w:tcW w:w="15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9" w:type="dxa"/>
            <w:tcBorders>
              <w:bottom w:val="single" w:sz="2" w:space="0" w:color="000000"/>
            </w:tcBorders>
            <w:tcMar>
              <w:bottom w:w="28" w:type="dxa"/>
            </w:tcMar>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15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0"/>
              <w:jc w:val="left"/>
              <w:rPr/>
            </w:pPr>
            <w:r>
              <w:rPr/>
              <w:t> </w:t>
            </w:r>
          </w:p>
        </w:tc>
        <w:tc>
          <w:tcPr>
            <w:tcW w:w="159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3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15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0"/>
              <w:jc w:val="left"/>
              <w:rPr/>
            </w:pPr>
            <w:r>
              <w:rPr/>
              <w:t> </w:t>
            </w:r>
          </w:p>
        </w:tc>
        <w:tc>
          <w:tcPr>
            <w:tcW w:w="159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3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15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9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12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12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3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profit/(loss</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12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3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operating losses and may continue to incur operating losses, and as a result, to generate negative cash flows as the Company implements its future business plan. For the nine months ended September 30, 2025, the Company incurred a loss from operations of US$1.41 million and a net operating cash outflow of US$0.78 million. As of September 30, 2025, the Company had cash and cash equivalents of US$1.76 million and working capital of US$2.45 million, compared with approximately US$0.81 million and US$3.33 million as of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plans to optimize its internet resources cost investment strategy to improve the gross profit margin of its core business and to further strengthen the accounts receivables collection management, and negotiate with major suppliers for more favorable payment terms, all of which will help to substantially increase the cashflows from operations. In addition, as we wind down our search engine marketing distribution service in the PRC, we are seeing an improvement in our gross margins as well as significantly reduced operating expenses that will improve our cash flow and liquidity in the next 12 months. Also, in order to further develop our core business, i.e., our Internet advertising and related marketing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if at any time we anticipate insufficiency of our working capital, we can apply for revolving credit facility from commercial banks in the PRC to supplement our short-term liquidity deficit. We have not experienced any difficulties in obtaining such credit facility before, and this could result in fixed obligations and incremental cost of interest; (3) equity financing; (4) we plan to reduce our operating costs through optimizing the personnel structure among different offices and reduce our office leasing spaces, if needed. This may incur incremental costs related to employee layoff compensation and contract termination penalty.</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br/>
        <w:t>Based on the above discussion, we believe that our current cash and cash equivalents, our anticipated new cash flows from operations and investing and financing activities, and our other liquidity improving measures will ensure we have sufficient cash to meet our obligations as they become due within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170"/>
        <w:gridCol w:w="366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3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185"/>
        <w:gridCol w:w="18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are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information as of September 30, 2025 and for the nine and three months ended September 30, 2025 and 2024 have been prepared pursuant to the rules and regulations of the U.S. Securities and Exchange Commission (the “SEC”). Certain information and footnote disclosures, which are normally included in complete consolidated financial statements prepared in accordance with U.S. GAAP, have been omitted pursuant to those rules and regulations. The unaudited condensed consolidated interim financial information should be read in conjunction with the financial statements and the notes thereto, included in the Company’s Annual Report on Form 10-K for the fiscal year ended December 31, 2024, previously filed with the SEC (the “2024 Form 10-K”) on April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the Company’s condensed consolidated financial position as of September 30, 2025, its condensed consolidated results of operations for the nine and three months ended September 30, 2025 and 2024, and its condensed consolidated cash flows for the nine months ended September 30, 2025 and 2024, as applicable, have been made. The interim results of operations are not necessarily indicative of the operating results for the full fiscal year or any future periods.</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85"/>
        <w:gridCol w:w="231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all the subsidiaries and VIEs of the Company. All transactions and balances between the Company and its subsidiaries and VIEs have been eliminated upon consolidation.</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60"/>
        <w:gridCol w:w="170"/>
        <w:gridCol w:w="1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3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85"/>
        <w:gridCol w:w="24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exchange rates used to translate amounts in Reminbi, the legal currency of mainland China (“RMB”) into US$ for the purposes of preparing the condensed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3875"/>
        <w:gridCol w:w="60"/>
        <w:gridCol w:w="155"/>
        <w:gridCol w:w="1529"/>
        <w:gridCol w:w="60"/>
        <w:gridCol w:w="60"/>
        <w:gridCol w:w="151"/>
        <w:gridCol w:w="1488"/>
        <w:gridCol w:w="7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900" w:right="0" w:hanging="0"/>
              <w:jc w:val="left"/>
              <w:rPr/>
            </w:pPr>
            <w:r>
              <w:rPr/>
              <w:t> </w:t>
            </w:r>
          </w:p>
        </w:tc>
        <w:tc>
          <w:tcPr>
            <w:tcW w:w="1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90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019" w:type="dxa"/>
        <w:jc w:val="left"/>
        <w:tblInd w:w="0" w:type="dxa"/>
        <w:tblLayout w:type="fixed"/>
        <w:tblCellMar>
          <w:top w:w="0" w:type="dxa"/>
          <w:left w:w="0" w:type="dxa"/>
          <w:bottom w:w="0" w:type="dxa"/>
          <w:right w:w="0" w:type="dxa"/>
        </w:tblCellMar>
      </w:tblPr>
      <w:tblGrid>
        <w:gridCol w:w="4970"/>
        <w:gridCol w:w="60"/>
        <w:gridCol w:w="123"/>
        <w:gridCol w:w="1211"/>
        <w:gridCol w:w="123"/>
        <w:gridCol w:w="123"/>
        <w:gridCol w:w="123"/>
        <w:gridCol w:w="1211"/>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334"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3" w:type="dxa"/>
            <w:tcBorders>
              <w:bottom w:val="single" w:sz="2" w:space="0" w:color="000000"/>
            </w:tcBorders>
            <w:tcMar>
              <w:bottom w:w="28" w:type="dxa"/>
            </w:tcMar>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7.1642</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139" w:type="dxa"/>
        <w:jc w:val="left"/>
        <w:tblInd w:w="0" w:type="dxa"/>
        <w:tblLayout w:type="fixed"/>
        <w:tblCellMar>
          <w:top w:w="0" w:type="dxa"/>
          <w:left w:w="0" w:type="dxa"/>
          <w:bottom w:w="0" w:type="dxa"/>
          <w:right w:w="0" w:type="dxa"/>
        </w:tblCellMar>
      </w:tblPr>
      <w:tblGrid>
        <w:gridCol w:w="4970"/>
        <w:gridCol w:w="60"/>
        <w:gridCol w:w="128"/>
        <w:gridCol w:w="1261"/>
        <w:gridCol w:w="128"/>
        <w:gridCol w:w="128"/>
        <w:gridCol w:w="128"/>
        <w:gridCol w:w="1261"/>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3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8"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7.1292</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No representation is made that the RMB amounts could have been, or could be converted into US$ at the above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25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movements of the Company’s credit losses for the nine and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6"/>
        <w:gridCol w:w="60"/>
        <w:gridCol w:w="144"/>
        <w:gridCol w:w="1142"/>
        <w:gridCol w:w="138"/>
        <w:gridCol w:w="138"/>
        <w:gridCol w:w="144"/>
        <w:gridCol w:w="1142"/>
        <w:gridCol w:w="60"/>
        <w:gridCol w:w="60"/>
        <w:gridCol w:w="148"/>
        <w:gridCol w:w="1168"/>
        <w:gridCol w:w="188"/>
        <w:gridCol w:w="141"/>
        <w:gridCol w:w="148"/>
        <w:gridCol w:w="1168"/>
        <w:gridCol w:w="80"/>
      </w:tblGrid>
      <w:tr>
        <w:trPr/>
        <w:tc>
          <w:tcPr>
            <w:tcW w:w="4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8" w:type="dxa"/>
            <w:tcBorders>
              <w:bottom w:val="single" w:sz="2"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8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3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4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8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3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accounts receivable: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18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w:t>
            </w:r>
          </w:p>
        </w:tc>
        <w:tc>
          <w:tcPr>
            <w:tcW w:w="80" w:type="dxa"/>
            <w:tcBorders/>
            <w:shd w:fill="CCEEFF" w:val="clear"/>
            <w:vAlign w:val="center"/>
          </w:tcPr>
          <w:p>
            <w:pPr>
              <w:pStyle w:val="TableContents"/>
              <w:bidi w:val="0"/>
              <w:spacing w:before="0" w:after="283"/>
              <w:jc w:val="left"/>
              <w:rPr/>
            </w:pPr>
            <w:r>
              <w:rPr/>
              <w:t> </w:t>
            </w:r>
          </w:p>
        </w:tc>
      </w:tr>
      <w:tr>
        <w:trPr/>
        <w:tc>
          <w:tcPr>
            <w:tcW w:w="41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1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4"/>
        <w:gridCol w:w="60"/>
        <w:gridCol w:w="144"/>
        <w:gridCol w:w="1141"/>
        <w:gridCol w:w="137"/>
        <w:gridCol w:w="137"/>
        <w:gridCol w:w="144"/>
        <w:gridCol w:w="1141"/>
        <w:gridCol w:w="80"/>
        <w:gridCol w:w="60"/>
        <w:gridCol w:w="150"/>
        <w:gridCol w:w="1185"/>
        <w:gridCol w:w="143"/>
        <w:gridCol w:w="143"/>
        <w:gridCol w:w="150"/>
        <w:gridCol w:w="1185"/>
        <w:gridCol w:w="81"/>
      </w:tblGrid>
      <w:tr>
        <w:trPr/>
        <w:tc>
          <w:tcPr>
            <w:tcW w:w="4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3" w:type="dxa"/>
            <w:tcBorders>
              <w:bottom w:val="single" w:sz="2"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1" w:type="dxa"/>
            <w:tcBorders/>
            <w:vAlign w:val="center"/>
          </w:tcPr>
          <w:p>
            <w:pPr>
              <w:pStyle w:val="TableContents"/>
              <w:bidi w:val="0"/>
              <w:spacing w:before="0" w:after="283"/>
              <w:jc w:val="left"/>
              <w:rPr/>
            </w:pPr>
            <w:r>
              <w:rPr/>
              <w:t> </w:t>
            </w:r>
          </w:p>
        </w:tc>
      </w:tr>
      <w:tr>
        <w:trPr/>
        <w:tc>
          <w:tcPr>
            <w:tcW w:w="4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1" w:type="dxa"/>
            <w:tcBorders/>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other current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81"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1"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
        <w:gridCol w:w="140"/>
        <w:gridCol w:w="158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1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2024, the Board of Directors of the Company approved a reverse stock split of the Company’s issued and outstanding shares of common stock, par value $0.001 per share (the “Common Stock”) at a ratio of 1-for-4 (the “Reverse Stock Split”). The Reverse Stock Split became effective on September 30, 2024 (the “Effective Date”). As a result, the number of shares of the Company’s authorized Common Stock was reduced from 50,000,000 shares to 12,500,000 shares and the issued and outstanding number of shares of the Common Stock was correspondingly decreased. The Reverse Stock Split has no effect on the par value of the Company’s Common Stock or authorized shares of preferred stock. When the Reverse Stock Split became effective, each four shares of issued and outstanding Common Stock were converted into one newly issued and outstanding share of Common Stock. No fractional shares were issued in connection with the Reverse Stock Split. Any fractional shares of Common Stock that would have otherwise resulted from the Reverse Stock Split were rounded up to the nearest full share. No cash or other consideration was paid in connection with any fractional shares that would otherwise have resulted from the Reverse Stock Split. As a result of the Reverse Stock Split, 8,704,506 shares of Common Stock that were issued and outstanding at September 30, 2024 was reduced to 2,301,205 shares of Common Stock (taking into account the rounding of fractional shares).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Except where otherwise specified, all number of shares, number of warrants, share prices, exercise prices and per share data in the consolidated financial statements and notes to the consolidated financial statements have been retroactively restated as if the Reverse Stock Split occurred at the beginning of the periods presented.</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185"/>
        <w:gridCol w:w="17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17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 the Company’s revenues disaggregated by products and services and timing of revenue recognition: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7"/>
        <w:gridCol w:w="60"/>
        <w:gridCol w:w="252"/>
        <w:gridCol w:w="917"/>
        <w:gridCol w:w="107"/>
        <w:gridCol w:w="107"/>
        <w:gridCol w:w="252"/>
        <w:gridCol w:w="1083"/>
        <w:gridCol w:w="60"/>
        <w:gridCol w:w="60"/>
        <w:gridCol w:w="283"/>
        <w:gridCol w:w="1004"/>
        <w:gridCol w:w="118"/>
        <w:gridCol w:w="118"/>
        <w:gridCol w:w="283"/>
        <w:gridCol w:w="1004"/>
        <w:gridCol w:w="80"/>
      </w:tblGrid>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80" w:type="dxa"/>
            <w:tcBorders/>
            <w:shd w:fill="FFFFFF" w:val="clear"/>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3,917</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1,717</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326" w:type="dxa"/>
        <w:jc w:val="left"/>
        <w:tblInd w:w="0" w:type="dxa"/>
        <w:tblLayout w:type="fixed"/>
        <w:tblCellMar>
          <w:top w:w="0" w:type="dxa"/>
          <w:left w:w="0" w:type="dxa"/>
          <w:bottom w:w="0" w:type="dxa"/>
          <w:right w:w="0" w:type="dxa"/>
        </w:tblCellMar>
      </w:tblPr>
      <w:tblGrid>
        <w:gridCol w:w="3125"/>
        <w:gridCol w:w="60"/>
        <w:gridCol w:w="252"/>
        <w:gridCol w:w="978"/>
        <w:gridCol w:w="121"/>
        <w:gridCol w:w="121"/>
        <w:gridCol w:w="252"/>
        <w:gridCol w:w="1190"/>
        <w:gridCol w:w="60"/>
        <w:gridCol w:w="60"/>
        <w:gridCol w:w="283"/>
        <w:gridCol w:w="1098"/>
        <w:gridCol w:w="135"/>
        <w:gridCol w:w="135"/>
        <w:gridCol w:w="283"/>
        <w:gridCol w:w="1098"/>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4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4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4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3,917</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1,717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3,239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rPr>
      </w:pPr>
      <w:r>
        <w:rPr>
          <w:rFonts w:ascii="Times New Roman" w:hAnsi="Times New Roman"/>
          <w:b/>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the movement of the Company’s contract liabilities for the nine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8369" w:type="dxa"/>
        <w:jc w:val="left"/>
        <w:tblInd w:w="0" w:type="dxa"/>
        <w:tblLayout w:type="fixed"/>
        <w:tblCellMar>
          <w:top w:w="0" w:type="dxa"/>
          <w:left w:w="0" w:type="dxa"/>
          <w:bottom w:w="0" w:type="dxa"/>
          <w:right w:w="0" w:type="dxa"/>
        </w:tblCellMar>
      </w:tblPr>
      <w:tblGrid>
        <w:gridCol w:w="6605"/>
        <w:gridCol w:w="60"/>
        <w:gridCol w:w="242"/>
        <w:gridCol w:w="1367"/>
        <w:gridCol w:w="95"/>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liabilities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9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40" w:right="0" w:hanging="0"/>
              <w:jc w:val="left"/>
              <w:rPr/>
            </w:pPr>
            <w:r>
              <w:rPr/>
              <w:t> </w:t>
            </w:r>
          </w:p>
        </w:tc>
        <w:tc>
          <w:tcPr>
            <w:tcW w:w="13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5"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from beginning contract liability balances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received from customers related to unsatisfied performance obligations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September 30, 2025(Unaudited)</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599</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Advance from customers related to unsatisfied performance obligations are generally refundable. Refund of advance from customers were insignificant for the nine and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2025 and 2024, there were no revenue recognized from performance obligations that were satisfied in prior periods.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85"/>
        <w:gridCol w:w="29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29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acquisition of Rahula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 is not recognized in an asset acquisition. Direct transaction costs include those third-party costs that can be directly attributable to the asset acquisition and would not have been incurred absent the acquisition transaction.</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Acquisition of Rahula Digital Media (HK) Limited.</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this transaction represented an asset acquisition as substantially all of the value was in the intellectual property intangible assets of Rahula Group.</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600" w:right="0" w:hanging="0"/>
        <w:jc w:val="both"/>
        <w:rPr>
          <w:rFonts w:ascii="Times New Roman" w:hAnsi="Times New Roman"/>
          <w:caps w:val="false"/>
          <w:smallCaps w:val="false"/>
          <w:sz w:val="20"/>
        </w:rPr>
      </w:pPr>
      <w:r>
        <w:rPr>
          <w:rFonts w:ascii="Times New Roman" w:hAnsi="Times New Roman"/>
          <w:caps w:val="false"/>
          <w:smallCaps w:val="false"/>
          <w:sz w:val="20"/>
        </w:rPr>
        <w:t>On March 7, 2025, upon the Purchaser’s acquisition of the outstanding common stock of Rahula, the Rahula intangible asset balance recorded on the acquisition date and included in intangible assets was as follows:</w:t>
      </w:r>
    </w:p>
    <w:p>
      <w:pPr>
        <w:pStyle w:val="TextBody"/>
        <w:bidi w:val="0"/>
        <w:spacing w:before="0" w:after="0"/>
        <w:ind w:left="420" w:right="0" w:hanging="0"/>
        <w:jc w:val="left"/>
        <w:rPr>
          <w:caps w:val="false"/>
          <w:smallCaps w:val="false"/>
        </w:rPr>
      </w:pPr>
      <w:r>
        <w:rPr>
          <w:caps w:val="false"/>
          <w:smallCaps w:val="false"/>
        </w:rPr>
        <w:t> </w:t>
      </w:r>
    </w:p>
    <w:tbl>
      <w:tblPr>
        <w:tblW w:w="6974" w:type="dxa"/>
        <w:jc w:val="left"/>
        <w:tblInd w:w="0" w:type="dxa"/>
        <w:tblLayout w:type="fixed"/>
        <w:tblCellMar>
          <w:top w:w="0" w:type="dxa"/>
          <w:left w:w="0" w:type="dxa"/>
          <w:bottom w:w="0" w:type="dxa"/>
          <w:right w:w="0" w:type="dxa"/>
        </w:tblCellMar>
      </w:tblPr>
      <w:tblGrid>
        <w:gridCol w:w="5105"/>
        <w:gridCol w:w="60"/>
        <w:gridCol w:w="223"/>
        <w:gridCol w:w="1491"/>
        <w:gridCol w:w="9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7, 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Rahula Group intangible asset recorded on acquisition date: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acquired (a)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9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generated from the Rahula asset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paid</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intangible asset balance will be amortized over the remaining useful life of 3 years as of the March 7, 2025 acquisition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0"/>
        <w:gridCol w:w="140"/>
        <w:gridCol w:w="5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operating lease right-of-use assets and total operating lease liabilities recognized was approximately US$0.06 million and US$0.05 million, respectively.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Maturity of operating lease liabilities</w:t>
      </w:r>
    </w:p>
    <w:p>
      <w:pPr>
        <w:pStyle w:val="TextBody"/>
        <w:bidi w:val="0"/>
        <w:spacing w:before="0" w:after="0"/>
        <w:ind w:left="0" w:right="0" w:hanging="0"/>
        <w:jc w:val="left"/>
        <w:rPr>
          <w:caps w:val="false"/>
          <w:smallCaps w:val="false"/>
        </w:rPr>
      </w:pPr>
      <w:r>
        <w:rPr>
          <w:caps w:val="false"/>
          <w:smallCaps w:val="false"/>
        </w:rPr>
        <w:t> </w:t>
      </w:r>
    </w:p>
    <w:tbl>
      <w:tblPr>
        <w:tblW w:w="6299" w:type="dxa"/>
        <w:jc w:val="left"/>
        <w:tblInd w:w="0" w:type="dxa"/>
        <w:tblLayout w:type="fixed"/>
        <w:tblCellMar>
          <w:top w:w="0" w:type="dxa"/>
          <w:left w:w="0" w:type="dxa"/>
          <w:bottom w:w="0" w:type="dxa"/>
          <w:right w:w="0" w:type="dxa"/>
        </w:tblCellMar>
      </w:tblPr>
      <w:tblGrid>
        <w:gridCol w:w="4655"/>
        <w:gridCol w:w="60"/>
        <w:gridCol w:w="60"/>
        <w:gridCol w:w="295"/>
        <w:gridCol w:w="1134"/>
        <w:gridCol w:w="9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liabilities-Non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Operating lease expenses: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2945"/>
        <w:gridCol w:w="60"/>
        <w:gridCol w:w="437"/>
        <w:gridCol w:w="804"/>
        <w:gridCol w:w="209"/>
        <w:gridCol w:w="209"/>
        <w:gridCol w:w="437"/>
        <w:gridCol w:w="817"/>
        <w:gridCol w:w="60"/>
        <w:gridCol w:w="60"/>
        <w:gridCol w:w="521"/>
        <w:gridCol w:w="959"/>
        <w:gridCol w:w="250"/>
        <w:gridCol w:w="250"/>
        <w:gridCol w:w="521"/>
        <w:gridCol w:w="531"/>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0" w:type="dxa"/>
            <w:tcBorders>
              <w:bottom w:val="single" w:sz="2" w:space="0" w:color="000000"/>
            </w:tcBorders>
            <w:tcMar>
              <w:bottom w:w="28"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ind w:left="0" w:right="0" w:hanging="0"/>
              <w:jc w:val="left"/>
              <w:rPr/>
            </w:pPr>
            <w:r>
              <w:rPr/>
              <w:t> </w:t>
            </w:r>
          </w:p>
        </w:tc>
        <w:tc>
          <w:tcPr>
            <w:tcW w:w="12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ind w:left="0" w:right="0" w:hanging="0"/>
              <w:jc w:val="left"/>
              <w:rPr/>
            </w:pPr>
            <w:r>
              <w:rPr/>
              <w:t> </w:t>
            </w:r>
          </w:p>
        </w:tc>
        <w:tc>
          <w:tcPr>
            <w:tcW w:w="12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contracts</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0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5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contracts</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Supplemental information related to operating leases</w:t>
      </w:r>
      <w:r>
        <w:rPr>
          <w:rFonts w:ascii="Times New Roman" w:hAnsi="Times New Roman"/>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tbl>
      <w:tblPr>
        <w:tblW w:w="9461" w:type="dxa"/>
        <w:jc w:val="left"/>
        <w:tblInd w:w="0" w:type="dxa"/>
        <w:tblLayout w:type="fixed"/>
        <w:tblCellMar>
          <w:top w:w="0" w:type="dxa"/>
          <w:left w:w="0" w:type="dxa"/>
          <w:bottom w:w="0" w:type="dxa"/>
          <w:right w:w="0" w:type="dxa"/>
        </w:tblCellMar>
      </w:tblPr>
      <w:tblGrid>
        <w:gridCol w:w="6170"/>
        <w:gridCol w:w="60"/>
        <w:gridCol w:w="182"/>
        <w:gridCol w:w="1153"/>
        <w:gridCol w:w="561"/>
        <w:gridCol w:w="182"/>
        <w:gridCol w:w="380"/>
        <w:gridCol w:w="698"/>
        <w:gridCol w:w="7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561" w:type="dxa"/>
            <w:tcBorders>
              <w:bottom w:val="single" w:sz="2" w:space="0" w:color="000000"/>
            </w:tcBorders>
            <w:tcMar>
              <w:bottom w:w="28" w:type="dxa"/>
            </w:tcMar>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56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56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used for operating leases (US$’000)</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56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liabilities (US$’000)</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561"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56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5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tbl>
      <w:tblPr>
        <w:tblW w:w="4733" w:type="dxa"/>
        <w:jc w:val="left"/>
        <w:tblInd w:w="0" w:type="dxa"/>
        <w:tblLayout w:type="fixed"/>
        <w:tblCellMar>
          <w:top w:w="0" w:type="dxa"/>
          <w:left w:w="0" w:type="dxa"/>
          <w:bottom w:w="0" w:type="dxa"/>
          <w:right w:w="0" w:type="dxa"/>
        </w:tblCellMar>
      </w:tblPr>
      <w:tblGrid>
        <w:gridCol w:w="2045"/>
        <w:gridCol w:w="60"/>
        <w:gridCol w:w="120"/>
        <w:gridCol w:w="1099"/>
        <w:gridCol w:w="80"/>
        <w:gridCol w:w="60"/>
        <w:gridCol w:w="115"/>
        <w:gridCol w:w="1059"/>
        <w:gridCol w:w="9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w:t>
            </w:r>
          </w:p>
        </w:tc>
        <w:tc>
          <w:tcPr>
            <w:tcW w:w="9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1,614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All of the accounts receivable are non-interest bearing. The Company maintains an estimated allowance for credit losses to reduce its accounts receivable to the amount that it believes will be collected. The Company evaluates its accounts receivable on a collective (pool) basis and determines the allowance for credit loss based on aging data, historical collection experience, customer specific facts, current economic conditions and reasonable and supportable forecasts of future economic conditions. For the nine and three months ended September 30, 2025, the Company provided approximately US$0.31 million and reversed US$0.003 million credit losses for its accounts receivable, respectively. For the nine and three months ended September 30, 2024, the Company provided approximately US$0.80 million and US$0.11 million credit losses for its accounts receivable,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70"/>
        <w:gridCol w:w="315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31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Prepayments and deposit to suppliers</w:t>
            </w:r>
          </w:p>
        </w:tc>
      </w:tr>
    </w:tbl>
    <w:p>
      <w:pPr>
        <w:pStyle w:val="TextBody"/>
        <w:bidi w:val="0"/>
        <w:spacing w:before="0" w:after="0"/>
        <w:ind w:left="0" w:right="0" w:hanging="0"/>
        <w:jc w:val="left"/>
        <w:rPr>
          <w:caps w:val="false"/>
          <w:smallCaps w:val="false"/>
        </w:rPr>
      </w:pPr>
      <w:r>
        <w:rPr>
          <w:caps w:val="false"/>
          <w:smallCaps w:val="false"/>
        </w:rPr>
        <w:t> </w:t>
      </w:r>
    </w:p>
    <w:tbl>
      <w:tblPr>
        <w:tblW w:w="6493" w:type="dxa"/>
        <w:jc w:val="left"/>
        <w:tblInd w:w="0" w:type="dxa"/>
        <w:tblLayout w:type="fixed"/>
        <w:tblCellMar>
          <w:top w:w="0" w:type="dxa"/>
          <w:left w:w="0" w:type="dxa"/>
          <w:bottom w:w="0" w:type="dxa"/>
          <w:right w:w="0" w:type="dxa"/>
        </w:tblCellMar>
      </w:tblPr>
      <w:tblGrid>
        <w:gridCol w:w="3845"/>
        <w:gridCol w:w="60"/>
        <w:gridCol w:w="133"/>
        <w:gridCol w:w="1086"/>
        <w:gridCol w:w="60"/>
        <w:gridCol w:w="60"/>
        <w:gridCol w:w="128"/>
        <w:gridCol w:w="1046"/>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to advertising resources providers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advertising resources providers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for investing activities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deposits and prepayments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4,508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110"/>
        <w:gridCol w:w="60"/>
        <w:gridCol w:w="120"/>
        <w:gridCol w:w="1099"/>
        <w:gridCol w:w="80"/>
        <w:gridCol w:w="60"/>
        <w:gridCol w:w="115"/>
        <w:gridCol w:w="1059"/>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to unrelated parties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interest receivables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Staff advances for business operations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2,239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the Company provided unsecured, interest-bearing short-term loans to two unrelated parties, which were set forth as below. These short-term loans were recorded as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31, 2025, the Company agreed to further extend the term of this loan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nine and three months ended September 30, 2025, the Company provided US$0.38 million and provided US$0.003 million credit losses on short-term loans provided to unrelated parties,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2024, other current assets also included a US$0.62 million remaining outstanding balance of a short-term loan that the Company provided to an unrelated party, Digital Sun Ventures Limited, a Hong Kong-based company (“Digital Sun”). In March 2021, the Company and Digital Sun reached an oral agreement, pursuant to which the Company provided a short-term loan of US$1.65 million to Digital Sun. The loan has a one-year term. The loan is unsecured, interest free and is required to be repaid in lump sum at maturity by March 2022. The Company provided this unsecured and interest free loan to Digital Sun in consideration of the promises and claims made by Digital Sun’s management that Digital Sun has close connections with international well-known media companies seeking for strategic cooperation partners in China, and Digital Sun will facilitate building strategic business partnerships among the Company and these media companies. As of March 31, 2022, Digital Sun had repaid US$1.03 million of this loan and defaults on the loan balance of US$0.62 million. The Company attempted to collect the outstanding loan balance. In June 2022, the Company fully allowanced the outstanding loan balance of US$0.62 million based on the Company’s assessment of the collectability of this outstanding balance. The Company had engaged a law firm and prepared and sent a legal letter to Digital Sun in March 2023, and the Company intends to take further actions to safeguard its rights against the default, including but not limited to, arranging meetings with the management of Digital Sun to negotiate the repayment plan in person and filing a lawsuit against Digital Sun after all other means of collection have been exhausted. As of the date hereof, the Company has not received any formal responses from Digital Sun.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tbl>
      <w:tblPr>
        <w:tblW w:w="4899" w:type="dxa"/>
        <w:jc w:val="left"/>
        <w:tblInd w:w="0" w:type="dxa"/>
        <w:tblLayout w:type="fixed"/>
        <w:tblCellMar>
          <w:top w:w="0" w:type="dxa"/>
          <w:left w:w="0" w:type="dxa"/>
          <w:bottom w:w="0" w:type="dxa"/>
          <w:right w:w="0" w:type="dxa"/>
        </w:tblCellMar>
      </w:tblPr>
      <w:tblGrid>
        <w:gridCol w:w="3905"/>
        <w:gridCol w:w="60"/>
        <w:gridCol w:w="129"/>
        <w:gridCol w:w="73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investments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Disposed during the year</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provided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September 30, 2025 (Unaudited)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397</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except for long-term investments which were fully impaired, the Company beneficially owned a 7.69%, 9.9% and 9.9% equity interest in each New Business Holdings Limited (“New Business”), Hunan Yong Fu Xiang Health Management Co., Ltd (“Yong Fu Xiang”) and Wuhan Ju Liang Media Co., Ltd. (“Wuhan Ju Liang”),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each investment which does not have readily determinable fair values at cost minus impairment, if any, plus or minus changes resulting from observable price changes in orderly transactions for the identical or a similar investment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the Company provided $0.002 million in impairment loss against its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4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2600"/>
        <w:gridCol w:w="60"/>
        <w:gridCol w:w="120"/>
        <w:gridCol w:w="1099"/>
        <w:gridCol w:w="80"/>
        <w:gridCol w:w="60"/>
        <w:gridCol w:w="115"/>
        <w:gridCol w:w="1059"/>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4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40" w:right="0" w:hanging="0"/>
              <w:jc w:val="left"/>
              <w:rPr/>
            </w:pPr>
            <w:r>
              <w:rPr/>
              <w:t> </w:t>
            </w:r>
          </w:p>
        </w:tc>
        <w:tc>
          <w:tcPr>
            <w:tcW w:w="10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4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devices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4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cost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4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1,838</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expenses for the nine months ended September 30, 2025 and 2024 were approximately US$0.03 million and US$0.08 million, respectively. Depreciation expenses for the three months ended September 30, 2025 and 2024 were approximately US$0.01 million and US$0.02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75"/>
        <w:gridCol w:w="180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8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Intangible assets, net </w:t>
            </w:r>
          </w:p>
        </w:tc>
      </w:tr>
    </w:tbl>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365"/>
        <w:gridCol w:w="60"/>
        <w:gridCol w:w="180"/>
        <w:gridCol w:w="859"/>
        <w:gridCol w:w="69"/>
        <w:gridCol w:w="69"/>
        <w:gridCol w:w="250"/>
        <w:gridCol w:w="1090"/>
        <w:gridCol w:w="92"/>
        <w:gridCol w:w="69"/>
        <w:gridCol w:w="227"/>
        <w:gridCol w:w="993"/>
        <w:gridCol w:w="92"/>
        <w:gridCol w:w="69"/>
        <w:gridCol w:w="282"/>
        <w:gridCol w:w="757"/>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9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September 30, 2025 (Unaudited)</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both"/>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both"/>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both"/>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Rahula’s Intellectual Property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10,363</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(6,046</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(3,741</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365"/>
        <w:gridCol w:w="60"/>
        <w:gridCol w:w="212"/>
        <w:gridCol w:w="827"/>
        <w:gridCol w:w="60"/>
        <w:gridCol w:w="60"/>
        <w:gridCol w:w="250"/>
        <w:gridCol w:w="1090"/>
        <w:gridCol w:w="80"/>
        <w:gridCol w:w="60"/>
        <w:gridCol w:w="227"/>
        <w:gridCol w:w="993"/>
        <w:gridCol w:w="80"/>
        <w:gridCol w:w="60"/>
        <w:gridCol w:w="633"/>
        <w:gridCol w:w="40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2024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10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5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3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expenses for the nine months ended September 30, 2025 and 2024 were approximately US$0.13 million and US$0.63 million, respectively. Amortization expenses for the three months ended September 30, 2025 and 2024 were approximately US$0.06 million and US$0.21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Based on the adjusted carrying value of the finite-lived intangible assets after the deduction of the impairment losses, which has a weighted average remaining useful life of 2.44 years as of September 30, 2025, and assuming no further subsequent impairment of the underlying intangible assets, the estimated future amortization expenses is  approximately US$0.06 million for the year ending December 31, 2025, approximately US$0.24 million for the year ending December 31, 2026, approximately US$0.24 million for the year ending December 31, 2027 and approximately US$0.05 million for the year ending December 31,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275"/>
        <w:gridCol w:w="302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3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Accrued payroll and other accruals</w:t>
            </w:r>
          </w:p>
        </w:tc>
      </w:tr>
    </w:tbl>
    <w:p>
      <w:pPr>
        <w:pStyle w:val="TextBody"/>
        <w:bidi w:val="0"/>
        <w:spacing w:before="0" w:after="0"/>
        <w:ind w:left="0" w:right="0" w:hanging="0"/>
        <w:jc w:val="left"/>
        <w:rPr>
          <w:caps w:val="false"/>
          <w:smallCaps w:val="false"/>
        </w:rPr>
      </w:pPr>
      <w:r>
        <w:rPr>
          <w:caps w:val="false"/>
          <w:smallCaps w:val="false"/>
        </w:rPr>
        <w:t> </w:t>
      </w:r>
    </w:p>
    <w:tbl>
      <w:tblPr>
        <w:tblW w:w="5353" w:type="dxa"/>
        <w:jc w:val="left"/>
        <w:tblInd w:w="0" w:type="dxa"/>
        <w:tblLayout w:type="fixed"/>
        <w:tblCellMar>
          <w:top w:w="0" w:type="dxa"/>
          <w:left w:w="0" w:type="dxa"/>
          <w:bottom w:w="0" w:type="dxa"/>
          <w:right w:w="0" w:type="dxa"/>
        </w:tblCellMar>
      </w:tblPr>
      <w:tblGrid>
        <w:gridCol w:w="2705"/>
        <w:gridCol w:w="60"/>
        <w:gridCol w:w="184"/>
        <w:gridCol w:w="1035"/>
        <w:gridCol w:w="60"/>
        <w:gridCol w:w="60"/>
        <w:gridCol w:w="177"/>
        <w:gridCol w:w="997"/>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staff welfare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operating expenses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and December 31, 2024, taxes payable consists of:</w:t>
      </w:r>
    </w:p>
    <w:p>
      <w:pPr>
        <w:pStyle w:val="TextBody"/>
        <w:bidi w:val="0"/>
        <w:spacing w:before="0" w:after="0"/>
        <w:ind w:left="0" w:right="0" w:hanging="0"/>
        <w:jc w:val="left"/>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2945"/>
        <w:gridCol w:w="60"/>
        <w:gridCol w:w="133"/>
        <w:gridCol w:w="1086"/>
        <w:gridCol w:w="60"/>
        <w:gridCol w:w="60"/>
        <w:gridCol w:w="128"/>
        <w:gridCol w:w="1046"/>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Turnover tax and surcharge payable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income tax payable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taxes payable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3,152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2025 and 2024, the Company’s income tax benefit/(expenses) consisted of:</w:t>
      </w:r>
    </w:p>
    <w:p>
      <w:pPr>
        <w:pStyle w:val="TextBody"/>
        <w:bidi w:val="0"/>
        <w:spacing w:before="0" w:after="0"/>
        <w:ind w:left="0" w:right="0" w:hanging="0"/>
        <w:jc w:val="left"/>
        <w:rPr>
          <w:caps w:val="false"/>
          <w:smallCaps w:val="false"/>
        </w:rPr>
      </w:pPr>
      <w:r>
        <w:rPr>
          <w:caps w:val="false"/>
          <w:smallCaps w:val="false"/>
        </w:rPr>
        <w:t> </w:t>
      </w:r>
    </w:p>
    <w:tbl>
      <w:tblPr>
        <w:tblW w:w="9103" w:type="dxa"/>
        <w:jc w:val="left"/>
        <w:tblInd w:w="0" w:type="dxa"/>
        <w:tblLayout w:type="fixed"/>
        <w:tblCellMar>
          <w:top w:w="0" w:type="dxa"/>
          <w:left w:w="0" w:type="dxa"/>
          <w:bottom w:w="0" w:type="dxa"/>
          <w:right w:w="0" w:type="dxa"/>
        </w:tblCellMar>
      </w:tblPr>
      <w:tblGrid>
        <w:gridCol w:w="2510"/>
        <w:gridCol w:w="60"/>
        <w:gridCol w:w="304"/>
        <w:gridCol w:w="944"/>
        <w:gridCol w:w="408"/>
        <w:gridCol w:w="304"/>
        <w:gridCol w:w="322"/>
        <w:gridCol w:w="687"/>
        <w:gridCol w:w="60"/>
        <w:gridCol w:w="60"/>
        <w:gridCol w:w="346"/>
        <w:gridCol w:w="1068"/>
        <w:gridCol w:w="461"/>
        <w:gridCol w:w="346"/>
        <w:gridCol w:w="655"/>
        <w:gridCol w:w="493"/>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8" w:type="dxa"/>
            <w:tcBorders>
              <w:bottom w:val="single" w:sz="2" w:space="0" w:color="000000"/>
            </w:tcBorders>
            <w:tcMar>
              <w:bottom w:w="28" w:type="dxa"/>
            </w:tcMar>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61" w:type="dxa"/>
            <w:tcBorders>
              <w:bottom w:val="single" w:sz="2" w:space="0" w:color="000000"/>
            </w:tcBorders>
            <w:tcMar>
              <w:bottom w:w="28" w:type="dxa"/>
            </w:tcMar>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4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4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ind w:left="0" w:right="0" w:hanging="0"/>
              <w:jc w:val="left"/>
              <w:rPr/>
            </w:pPr>
            <w:r>
              <w:rPr/>
              <w:t> </w:t>
            </w:r>
          </w:p>
        </w:tc>
        <w:tc>
          <w:tcPr>
            <w:tcW w:w="4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4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4"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46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6" w:type="dxa"/>
            <w:tcBorders/>
            <w:shd w:fill="FFFFFF" w:val="clear"/>
            <w:vAlign w:val="center"/>
          </w:tcPr>
          <w:p>
            <w:pPr>
              <w:pStyle w:val="TableContents"/>
              <w:bidi w:val="0"/>
              <w:spacing w:before="0" w:after="283"/>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 benefit/(expenses)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4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304"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4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as of September 30, 2025 and December 31, 2024 were as follows:</w:t>
      </w:r>
    </w:p>
    <w:p>
      <w:pPr>
        <w:pStyle w:val="TextBody"/>
        <w:bidi w:val="0"/>
        <w:spacing w:before="0" w:after="0"/>
        <w:ind w:left="0" w:right="0" w:hanging="0"/>
        <w:jc w:val="left"/>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965"/>
        <w:gridCol w:w="60"/>
        <w:gridCol w:w="102"/>
        <w:gridCol w:w="1117"/>
        <w:gridCol w:w="80"/>
        <w:gridCol w:w="60"/>
        <w:gridCol w:w="98"/>
        <w:gridCol w:w="1076"/>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net operating losses carried forward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11,035</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intangible assets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debts provision</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U.S. holding company has incurred aggregate net operating losses (“NOLs”) of approximately US$34.8 million and US$34.18 million as of September 30, 2025 and December 31, 2024, respectively. The NOLs carryforwards as of December 31, 2017 gradually expire over time, the last of which expires in 2037. NOLs incurred after December 31, 2017 will no longer be available to carry back but can be carried forward indefinitely, subject to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NOLs carried forward incurred by the Company’s PRC subsidiaries and VIEs were approximately US$11.04 million and US$10.87 million as of September 30, 2025 and December 31, 2024, respectively. The losses carryforwards gradually expire over time, the last of which will expire in 2028. The related deferred tax assets were calculated based on the respective NOLs incurred by each of the PRC subsidiaries and VIEs and the respective corresponding enacted tax rate that will be in effect in the period in which the losses are expected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approximately US$13.46 million and US$13.14 million valuation allowance as of September 30, 2025 and December 31, 2024, respectively, because it is considered more likely than not that a portion of the deferred tax assets will not be realized through sufficient future earnings of the entities to which the operating losses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2025, the Company recorded approximately US$0.27 million and US$0.03 million deferred tax valuation allowance, respectively. For the nine and three months ended September 30, 2024, the Company recorded approximately US$0.72 million and US$0.42 million deferred tax valuation allowance,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w:t>
            </w:r>
          </w:p>
        </w:tc>
        <w:tc>
          <w:tcPr>
            <w:tcW w:w="36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borrowing from a related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Long-term borrowing from a related party is a non-interest bearing loan from a related parity of the Company relating to the original paid-in capital contribution in the Company’s wholly-owned subsidiary Rise King Century Technology Development (Beijing) Co., Ltd. (“Rise King WFOE”), which is not expected to be repaid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net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Nevada holding company with operations primarily conducted in China through its PRC subsidiaries, the consolidated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September 30, 2025 and December 31, 2024, net assets restricted in the aggregate, that are included in the Company’s consolidated net assets, were approximately US$13.16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defined contribution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of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approximately US$0.04 million and US$0.07 million for the nine months ended September 30, 2025 and 2024, respectively. The total amounts for such employee benefits were approximately US$0.01 million and US$0.02 million for the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w:t>
            </w:r>
          </w:p>
        </w:tc>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concentrations of credit risk consist primarily of cash and cash equivalents, accounts receivable, and deposits and loans to unrelated parties. As of September 30, 2025, 90% of the Company’s cash and cash equivalents were held by major financial institutions located in China, the remaining 10% was held by financial institutions located in the United States of America. The Company believes that these financial institutions located in China and the United States of America are of high credit quality. For accounts receivable and deposits and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accounts receivable and deposits and loans to unrelated parties are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customers for the nine and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5"/>
        <w:gridCol w:w="964"/>
        <w:gridCol w:w="60"/>
        <w:gridCol w:w="964"/>
        <w:gridCol w:w="60"/>
        <w:gridCol w:w="964"/>
        <w:gridCol w:w="60"/>
        <w:gridCol w:w="964"/>
        <w:gridCol w:w="60"/>
        <w:gridCol w:w="964"/>
        <w:gridCol w:w="60"/>
        <w:gridCol w:w="954"/>
        <w:gridCol w:w="60"/>
        <w:gridCol w:w="974"/>
        <w:gridCol w:w="82"/>
      </w:tblGrid>
      <w:tr>
        <w:trPr/>
        <w:tc>
          <w:tcPr>
            <w:tcW w:w="3015"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A</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B</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C</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D</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E</w:t>
            </w:r>
          </w:p>
        </w:tc>
        <w:tc>
          <w:tcPr>
            <w:tcW w:w="6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F</w:t>
            </w:r>
          </w:p>
        </w:tc>
        <w:tc>
          <w:tcPr>
            <w:tcW w:w="6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G</w:t>
            </w:r>
          </w:p>
        </w:tc>
        <w:tc>
          <w:tcPr>
            <w:tcW w:w="82" w:type="dxa"/>
            <w:tcBorders/>
            <w:vAlign w:val="center"/>
          </w:tcPr>
          <w:p>
            <w:pPr>
              <w:pStyle w:val="TableContents"/>
              <w:bidi w:val="0"/>
              <w:spacing w:before="0" w:after="283"/>
              <w:jc w:val="left"/>
              <w:rPr/>
            </w:pPr>
            <w:r>
              <w:rPr/>
              <w:t> </w:t>
            </w:r>
          </w:p>
        </w:tc>
      </w:tr>
      <w:tr>
        <w:trPr/>
        <w:tc>
          <w:tcPr>
            <w:tcW w:w="3015"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2025</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 2025</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2024</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 2024</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September 30, 2025</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01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01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period/no balance existed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suppliers for the nine and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3650"/>
        <w:gridCol w:w="60"/>
        <w:gridCol w:w="920"/>
        <w:gridCol w:w="60"/>
        <w:gridCol w:w="920"/>
        <w:gridCol w:w="60"/>
        <w:gridCol w:w="920"/>
        <w:gridCol w:w="60"/>
        <w:gridCol w:w="920"/>
        <w:gridCol w:w="60"/>
        <w:gridCol w:w="920"/>
        <w:gridCol w:w="60"/>
        <w:gridCol w:w="92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A</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B</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C</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D</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E</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F</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2025</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 2025</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2024</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 2024</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June 2023, the Company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2"/>
        <w:gridCol w:w="60"/>
        <w:gridCol w:w="99"/>
        <w:gridCol w:w="816"/>
        <w:gridCol w:w="80"/>
        <w:gridCol w:w="60"/>
        <w:gridCol w:w="114"/>
        <w:gridCol w:w="643"/>
        <w:gridCol w:w="60"/>
        <w:gridCol w:w="60"/>
        <w:gridCol w:w="190"/>
        <w:gridCol w:w="1068"/>
        <w:gridCol w:w="60"/>
        <w:gridCol w:w="60"/>
        <w:gridCol w:w="76"/>
        <w:gridCol w:w="754"/>
        <w:gridCol w:w="80"/>
        <w:gridCol w:w="60"/>
        <w:gridCol w:w="138"/>
        <w:gridCol w:w="1510"/>
        <w:gridCol w:w="80"/>
        <w:gridCol w:w="60"/>
        <w:gridCol w:w="60"/>
        <w:gridCol w:w="545"/>
        <w:gridCol w:w="100"/>
      </w:tblGrid>
      <w:tr>
        <w:trPr/>
        <w:tc>
          <w:tcPr>
            <w:tcW w:w="3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00" w:type="dxa"/>
            <w:tcBorders/>
            <w:vAlign w:val="center"/>
          </w:tcPr>
          <w:p>
            <w:pPr>
              <w:pStyle w:val="TableContents"/>
              <w:bidi w:val="0"/>
              <w:spacing w:before="0" w:after="283"/>
              <w:jc w:val="left"/>
              <w:rPr/>
            </w:pPr>
            <w:r>
              <w:rPr/>
              <w:t> </w:t>
            </w:r>
          </w:p>
        </w:tc>
      </w:tr>
      <w:tr>
        <w:trPr/>
        <w:tc>
          <w:tcPr>
            <w:tcW w:w="3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100" w:type="dxa"/>
            <w:tcBorders/>
            <w:shd w:fill="CCEEFF" w:val="clear"/>
            <w:vAlign w:val="center"/>
          </w:tcPr>
          <w:p>
            <w:pPr>
              <w:pStyle w:val="TableContents"/>
              <w:bidi w:val="0"/>
              <w:spacing w:before="0" w:after="283"/>
              <w:jc w:val="left"/>
              <w:rPr/>
            </w:pPr>
            <w:r>
              <w:rPr/>
              <w:t> </w:t>
            </w:r>
          </w:p>
        </w:tc>
      </w:tr>
      <w:tr>
        <w:trPr/>
        <w:tc>
          <w:tcPr>
            <w:tcW w:w="33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w:t>
            </w:r>
          </w:p>
        </w:tc>
        <w:tc>
          <w:tcPr>
            <w:tcW w:w="100" w:type="dxa"/>
            <w:tcBorders/>
            <w:shd w:fill="FFFFFF" w:val="clear"/>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00" w:type="dxa"/>
            <w:tcBorders/>
            <w:shd w:fill="CCEEFF" w:val="clear"/>
            <w:vAlign w:val="center"/>
          </w:tcPr>
          <w:p>
            <w:pPr>
              <w:pStyle w:val="TableContents"/>
              <w:bidi w:val="0"/>
              <w:spacing w:before="0" w:after="283"/>
              <w:jc w:val="left"/>
              <w:rPr/>
            </w:pPr>
            <w:r>
              <w:rPr/>
              <w:t> </w:t>
            </w:r>
          </w:p>
        </w:tc>
      </w:tr>
      <w:tr>
        <w:trPr/>
        <w:tc>
          <w:tcPr>
            <w:tcW w:w="337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 for long-term assets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100" w:type="dxa"/>
            <w:tcBorders/>
            <w:shd w:fill="CCEEFF" w:val="clear"/>
            <w:vAlign w:val="center"/>
          </w:tcPr>
          <w:p>
            <w:pPr>
              <w:pStyle w:val="TableContents"/>
              <w:bidi w:val="0"/>
              <w:spacing w:before="0" w:after="283"/>
              <w:jc w:val="left"/>
              <w:rPr/>
            </w:pPr>
            <w:r>
              <w:rPr/>
              <w:t> </w:t>
            </w:r>
          </w:p>
        </w:tc>
      </w:tr>
      <w:tr>
        <w:trPr/>
        <w:tc>
          <w:tcPr>
            <w:tcW w:w="3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3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assets-September 30, 2025</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9,650</w:t>
            </w:r>
          </w:p>
        </w:tc>
        <w:tc>
          <w:tcPr>
            <w:tcW w:w="100" w:type="dxa"/>
            <w:tcBorders/>
            <w:shd w:fill="CCEEFF" w:val="clear"/>
            <w:vAlign w:val="center"/>
          </w:tcPr>
          <w:p>
            <w:pPr>
              <w:pStyle w:val="TableContents"/>
              <w:bidi w:val="0"/>
              <w:spacing w:before="0" w:after="283"/>
              <w:jc w:val="left"/>
              <w:rPr/>
            </w:pPr>
            <w:r>
              <w:rPr/>
              <w:t> </w:t>
            </w:r>
          </w:p>
        </w:tc>
      </w:tr>
      <w:tr>
        <w:trPr/>
        <w:tc>
          <w:tcPr>
            <w:tcW w:w="33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2024</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6"/>
        <w:gridCol w:w="60"/>
        <w:gridCol w:w="103"/>
        <w:gridCol w:w="846"/>
        <w:gridCol w:w="80"/>
        <w:gridCol w:w="60"/>
        <w:gridCol w:w="157"/>
        <w:gridCol w:w="608"/>
        <w:gridCol w:w="60"/>
        <w:gridCol w:w="60"/>
        <w:gridCol w:w="316"/>
        <w:gridCol w:w="979"/>
        <w:gridCol w:w="80"/>
        <w:gridCol w:w="60"/>
        <w:gridCol w:w="109"/>
        <w:gridCol w:w="721"/>
        <w:gridCol w:w="80"/>
        <w:gridCol w:w="60"/>
        <w:gridCol w:w="734"/>
        <w:gridCol w:w="981"/>
        <w:gridCol w:w="60"/>
        <w:gridCol w:w="60"/>
        <w:gridCol w:w="60"/>
        <w:gridCol w:w="485"/>
        <w:gridCol w:w="100"/>
      </w:tblGrid>
      <w:tr>
        <w:trPr/>
        <w:tc>
          <w:tcPr>
            <w:tcW w:w="3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00"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00"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100"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00"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 2024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4"/>
        <w:gridCol w:w="60"/>
        <w:gridCol w:w="84"/>
        <w:gridCol w:w="828"/>
        <w:gridCol w:w="80"/>
        <w:gridCol w:w="60"/>
        <w:gridCol w:w="323"/>
        <w:gridCol w:w="433"/>
        <w:gridCol w:w="60"/>
        <w:gridCol w:w="60"/>
        <w:gridCol w:w="189"/>
        <w:gridCol w:w="1064"/>
        <w:gridCol w:w="60"/>
        <w:gridCol w:w="60"/>
        <w:gridCol w:w="76"/>
        <w:gridCol w:w="754"/>
        <w:gridCol w:w="80"/>
        <w:gridCol w:w="60"/>
        <w:gridCol w:w="138"/>
        <w:gridCol w:w="1503"/>
        <w:gridCol w:w="80"/>
        <w:gridCol w:w="60"/>
        <w:gridCol w:w="60"/>
        <w:gridCol w:w="590"/>
        <w:gridCol w:w="99"/>
      </w:tblGrid>
      <w:tr>
        <w:trPr/>
        <w:tc>
          <w:tcPr>
            <w:tcW w:w="3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99"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99" w:type="dxa"/>
            <w:tcBorders/>
            <w:shd w:fill="CCEEFF"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12,735</w:t>
            </w:r>
          </w:p>
        </w:tc>
        <w:tc>
          <w:tcPr>
            <w:tcW w:w="99" w:type="dxa"/>
            <w:tcBorders/>
            <w:shd w:fill="FFFFFF" w:val="clear"/>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99" w:type="dxa"/>
            <w:tcBorders/>
            <w:shd w:fill="CCEEFF"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9" w:type="dxa"/>
            <w:tcBorders/>
            <w:shd w:fill="FFFFFF" w:val="clear"/>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assets-September 30, 2024</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11,007</w:t>
            </w:r>
          </w:p>
        </w:tc>
        <w:tc>
          <w:tcPr>
            <w:tcW w:w="99" w:type="dxa"/>
            <w:tcBorders/>
            <w:shd w:fill="FFFFFF" w:val="clear"/>
            <w:vAlign w:val="center"/>
          </w:tcPr>
          <w:p>
            <w:pPr>
              <w:pStyle w:val="TableContents"/>
              <w:bidi w:val="0"/>
              <w:spacing w:before="0" w:after="283"/>
              <w:jc w:val="left"/>
              <w:rPr/>
            </w:pPr>
            <w:r>
              <w:rPr/>
              <w:t> </w:t>
            </w:r>
          </w:p>
        </w:tc>
      </w:tr>
      <w:tr>
        <w:trPr/>
        <w:tc>
          <w:tcPr>
            <w:tcW w:w="3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2023</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 2024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5"/>
        <w:gridCol w:w="60"/>
        <w:gridCol w:w="103"/>
        <w:gridCol w:w="841"/>
        <w:gridCol w:w="60"/>
        <w:gridCol w:w="60"/>
        <w:gridCol w:w="326"/>
        <w:gridCol w:w="438"/>
        <w:gridCol w:w="60"/>
        <w:gridCol w:w="60"/>
        <w:gridCol w:w="169"/>
        <w:gridCol w:w="1120"/>
        <w:gridCol w:w="80"/>
        <w:gridCol w:w="60"/>
        <w:gridCol w:w="82"/>
        <w:gridCol w:w="748"/>
        <w:gridCol w:w="80"/>
        <w:gridCol w:w="60"/>
        <w:gridCol w:w="730"/>
        <w:gridCol w:w="974"/>
        <w:gridCol w:w="60"/>
        <w:gridCol w:w="60"/>
        <w:gridCol w:w="60"/>
        <w:gridCol w:w="545"/>
        <w:gridCol w:w="84"/>
      </w:tblGrid>
      <w:tr>
        <w:trPr/>
        <w:tc>
          <w:tcPr>
            <w:tcW w:w="3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4" w:type="dxa"/>
            <w:tcBorders/>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84"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84"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84"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4"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our Ecommerce O2O Ad and marketing services segment has been dormant and historical amounts were immaterial, the operations of this segment have been combined with the corporate segment for financial reporting purposes. Accordingly, the segment information for the nine and three months ended September 30, 2024, has been reclassified to conform to the presentation for the nine and three months ended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3" w:name="notes_end"/>
      <w:bookmarkEnd w:id="13"/>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w:t>
            </w:r>
          </w:p>
        </w:tc>
        <w:tc>
          <w:tcPr>
            <w:tcW w:w="12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Basic and diluted loss per share for each of the periods presented are calculated as follows (All amounts, except number of shares and per share data,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9"/>
        <w:gridCol w:w="60"/>
        <w:gridCol w:w="149"/>
        <w:gridCol w:w="1012"/>
        <w:gridCol w:w="95"/>
        <w:gridCol w:w="71"/>
        <w:gridCol w:w="149"/>
        <w:gridCol w:w="1012"/>
        <w:gridCol w:w="80"/>
        <w:gridCol w:w="60"/>
        <w:gridCol w:w="153"/>
        <w:gridCol w:w="1035"/>
        <w:gridCol w:w="97"/>
        <w:gridCol w:w="73"/>
        <w:gridCol w:w="153"/>
        <w:gridCol w:w="1035"/>
        <w:gridCol w:w="102"/>
      </w:tblGrid>
      <w:tr>
        <w:trPr/>
        <w:tc>
          <w:tcPr>
            <w:tcW w:w="4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2" w:type="dxa"/>
            <w:tcBorders/>
            <w:vAlign w:val="center"/>
          </w:tcPr>
          <w:p>
            <w:pPr>
              <w:pStyle w:val="TableContents"/>
              <w:bidi w:val="0"/>
              <w:spacing w:before="0" w:after="283"/>
              <w:jc w:val="left"/>
              <w:rPr/>
            </w:pPr>
            <w:r>
              <w:rPr/>
              <w:t> </w:t>
            </w:r>
          </w:p>
        </w:tc>
      </w:tr>
      <w:tr>
        <w:trPr/>
        <w:tc>
          <w:tcPr>
            <w:tcW w:w="4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 attributable to noncontrolling interests from continued operations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ZW Data Action Technologies Inc. (numerator for 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2,449,564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1,802,582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2,659,629</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1,805,289</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August 2024, the Company granted and issued approximately 0.18 million fully-vested and non-forfeitable shares of the Company restricted common stock to business and financial consultants in exchange for their service for a 12-month period until August 2025. The Company valued these shares at the closing bid price of the Company’s common stock on the grant date of these shares and recorded the related total cost of approximately US$0.35 million as a prepayment upon the grant and issuance of these shares. Total compensation expenses amortized was approximately US$0.35 million and US$0.06 million for the nine and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share-based compensation expenses recorded for the nine and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9411" w:type="dxa"/>
        <w:jc w:val="left"/>
        <w:tblInd w:w="0" w:type="dxa"/>
        <w:tblLayout w:type="fixed"/>
        <w:tblCellMar>
          <w:top w:w="0" w:type="dxa"/>
          <w:left w:w="0" w:type="dxa"/>
          <w:bottom w:w="0" w:type="dxa"/>
          <w:right w:w="0" w:type="dxa"/>
        </w:tblCellMar>
      </w:tblPr>
      <w:tblGrid>
        <w:gridCol w:w="3005"/>
        <w:gridCol w:w="60"/>
        <w:gridCol w:w="165"/>
        <w:gridCol w:w="921"/>
        <w:gridCol w:w="165"/>
        <w:gridCol w:w="165"/>
        <w:gridCol w:w="165"/>
        <w:gridCol w:w="1333"/>
        <w:gridCol w:w="60"/>
        <w:gridCol w:w="60"/>
        <w:gridCol w:w="396"/>
        <w:gridCol w:w="730"/>
        <w:gridCol w:w="190"/>
        <w:gridCol w:w="190"/>
        <w:gridCol w:w="190"/>
        <w:gridCol w:w="1541"/>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5" w:type="dxa"/>
            <w:tcBorders>
              <w:bottom w:val="single" w:sz="2" w:space="0" w:color="000000"/>
            </w:tcBorders>
            <w:tcMar>
              <w:bottom w:w="28"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0"/>
              <w:jc w:val="left"/>
              <w:rPr/>
            </w:pPr>
            <w:r>
              <w:rPr/>
              <w:t> </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0" w:type="dxa"/>
            <w:tcBorders>
              <w:bottom w:val="single" w:sz="2" w:space="0" w:color="000000"/>
            </w:tcBorders>
            <w:tcMar>
              <w:bottom w:w="28" w:type="dxa"/>
            </w:tcMar>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ind w:left="0" w:right="0" w:hanging="0"/>
              <w:jc w:val="left"/>
              <w:rPr/>
            </w:pPr>
            <w:r>
              <w:rPr/>
              <w:t> </w:t>
            </w:r>
          </w:p>
        </w:tc>
        <w:tc>
          <w:tcPr>
            <w:tcW w:w="1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0"/>
              <w:jc w:val="left"/>
              <w:rPr/>
            </w:pPr>
            <w:r>
              <w:rPr/>
              <w:t> </w:t>
            </w:r>
          </w:p>
        </w:tc>
        <w:tc>
          <w:tcPr>
            <w:tcW w:w="149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ind w:left="0" w:right="0" w:hanging="0"/>
              <w:jc w:val="left"/>
              <w:rPr/>
            </w:pPr>
            <w:r>
              <w:rPr/>
              <w:t> </w:t>
            </w:r>
          </w:p>
        </w:tc>
        <w:tc>
          <w:tcPr>
            <w:tcW w:w="17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0"/>
              <w:jc w:val="left"/>
              <w:rPr/>
            </w:pPr>
            <w:r>
              <w:rPr/>
              <w:t> </w:t>
            </w:r>
          </w:p>
        </w:tc>
        <w:tc>
          <w:tcPr>
            <w:tcW w:w="149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ind w:left="0" w:right="0" w:hanging="0"/>
              <w:jc w:val="left"/>
              <w:rPr/>
            </w:pPr>
            <w:r>
              <w:rPr/>
              <w:t> </w:t>
            </w:r>
          </w:p>
        </w:tc>
        <w:tc>
          <w:tcPr>
            <w:tcW w:w="17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346</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1,642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October 28, 2025, CNET Technology Limited (“CNET Technology”), a wholly-owned subsidiary of ZW Data Action Technologies Inc. (the “Company”) incorporated in the British Virgin Islands, entered into a purchase agreement with Fun Star Group INC., a British Virgin Islands company (“Fun Star”) and Modest Attack Limited, a British Virgin Islands company (“Modest”), pursuant to which Fun Star will sell its 9.9% equity interests in Modest (the “Equity Interests”) to CNET Technology. In consideration for the Equity Interests, CNET Technology shall pay Fun Star $625,000 in cash and cause the Company to issue 150,000 shares of common stock of the Company, having a total value of $375,000 and valued at $2.50 per share, to Fun Star. The closing of the acquisition is subject to customary terms and conditions as set forth in the Acquisition Agreement. As of the date of this quarterly report, the closing of the acquisition has not taken place.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Except for the above mentioned matters, no other material events which are required to be adjusted or disclosed as of the date of this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00" w:right="0" w:hanging="72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4" w:name="i2_start"/>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caps w:val="false"/>
          <w:smallCaps w:val="false"/>
        </w:rPr>
      </w:pPr>
      <w:r>
        <w:rPr>
          <w:caps w:val="false"/>
          <w:smallCaps w:val="false"/>
        </w:rPr>
        <w:t> </w:t>
      </w:r>
      <w:r>
        <w:rPr>
          <w:rFonts w:ascii="Times New Roman" w:hAnsi="Times New Roman"/>
          <w:i/>
          <w:caps w:val="false"/>
          <w:smallCaps w:val="false"/>
          <w:sz w:val="20"/>
        </w:rPr>
        <w:t xml:space="preserve">You should read the following discussion and analysis of our financial condition and results of operations in conjunction with our consolidated financial statements and the related notes included elsewhere in this interim report. Our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December 31, 2024. Readers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(the</w:t>
      </w:r>
      <w:r>
        <w:rPr>
          <w:rFonts w:ascii="Times New Roman" w:hAnsi="Times New Roman"/>
          <w:caps w:val="false"/>
          <w:smallCaps w:val="false"/>
          <w:sz w:val="20"/>
        </w:rPr>
        <w:t> “</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80"/>
        <w:jc w:val="both"/>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80"/>
        <w:jc w:val="both"/>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800"/>
        <w:jc w:val="both"/>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80"/>
        <w:jc w:val="both"/>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80"/>
        <w:jc w:val="both"/>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300" w:right="0" w:firstLine="780"/>
        <w:jc w:val="both"/>
        <w:rPr>
          <w:caps w:val="false"/>
          <w:smallCaps w:val="false"/>
        </w:rPr>
      </w:pPr>
      <w:r>
        <w:rPr>
          <w:caps w:val="false"/>
          <w:smallCaps w:val="false"/>
        </w:rPr>
        <w:t> </w:t>
      </w:r>
    </w:p>
    <w:p>
      <w:pPr>
        <w:pStyle w:val="TextBody"/>
        <w:bidi w:val="0"/>
        <w:spacing w:before="0" w:after="0"/>
        <w:ind w:left="300" w:right="0" w:firstLine="780"/>
        <w:jc w:val="both"/>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Each year, the PCAOB will determine whether it can inspect and investigate completely audit firms in mainland China and Hong Kong, among other jurisdictions.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and engages in IP licensing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Through our operating subsidiaries, we primarily operate an integrated marketing and digital solutions platform for brand partners across multiple channels. We leverage our omni-channel advertising capabilities, precision marketing tools, and data-driven management systems to help clients enhance brand awareness, optimize customer acquisition, and maximize marketing effectiveness. We provide a comprehensive suite of services, including content-driven and influencer-based digital marketing, brand-focused social media campaigns, online advertising placement, and value-added data analytics and technical services. Beginning in early 2022, we introduced our SaaS services to customers. The SaaS services were designated in providing one-stop blockchain-powered enterprise management solutions via our BIF platform in forms of unique NFT generations, data record, share and storage modules subscriptions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Basis of presentation, management estimates and 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have been prepared in accordance with generally accepted accounting principles in the United States of America (“U.S. GAAP”) and include the accounts of our company, and all of our subsidiaries and VIEs.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Some of our accounting policies require higher degrees of judgment than others in their application. In order to understand the significant accounting policies that we adopted for the preparation of our condensed consolidated interim financial statements, readers should refer to the information set forth in Note 4 “Summary of significant accounting policies” to our audited financial statements in our 2024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assumptions and estimates associated with revenue recognition, estimation of current expected credit loss and fair value measurement of warrant liabilities have the greatest potential impacts on our condensed consolidated financial statements. Therefore, we consider these to be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revenues are recognized when control of the promised services is transferred to our customers, in an amount that reflects the consideration we expect to be entitled to in exchange for those services. Our revenues from distribution of the right to use search engine marketing service are recognized on a gross basis, because we determine that we are a principal in the transaction who control the services before they are transferred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an allowance for credit losses for accounts receivable and short-term loans provided to unrelated parties, which are recorded as valuation accounts that are deducted from the amortized cost basis of the related financial assets to present the net amount expected to be collected on the financial assets. The allowance for credit losses reflects our current estimate of credit losses expected to be incurred over the life of the related financial assets. We consider various factors in establishing, monitoring, and adjusting our allowance for credit losses, including the aging and aging trends, customer/other parties’ creditworthiness and specific exposures related to particular customers/other parties. We also monitor other risk factors and forward-looking information, such as country specific risks and economic factors that may affect a customer/other party’s ability to pay in establishing and adjusting its allowance for credit losses. We assess collectability by reviewing the financial assets on a collective basis where similar characteristics exist and on an individual basis when we identify specific customers/other parties with known disputes or collectability issues. Accounts receivable and short-term loans to unrelated parties are written off after all collection efforts have ceased.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RESULTS OF OPERATIONS FOR THE NINE AND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for the periods indicated, of our consolidated results of operations. Our historical results presented below are not necessarily indicative of the results that may be expected for any future period. All amounts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2"/>
        <w:gridCol w:w="60"/>
        <w:gridCol w:w="238"/>
        <w:gridCol w:w="985"/>
        <w:gridCol w:w="139"/>
        <w:gridCol w:w="104"/>
        <w:gridCol w:w="238"/>
        <w:gridCol w:w="1056"/>
        <w:gridCol w:w="80"/>
        <w:gridCol w:w="60"/>
        <w:gridCol w:w="267"/>
        <w:gridCol w:w="976"/>
        <w:gridCol w:w="154"/>
        <w:gridCol w:w="116"/>
        <w:gridCol w:w="267"/>
        <w:gridCol w:w="1082"/>
        <w:gridCol w:w="101"/>
      </w:tblGrid>
      <w:tr>
        <w:trPr/>
        <w:tc>
          <w:tcPr>
            <w:tcW w:w="4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9"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4" w:type="dxa"/>
            <w:tcBorders>
              <w:bottom w:val="single" w:sz="2" w:space="0" w:color="000000"/>
            </w:tcBorders>
            <w:tcMar>
              <w:bottom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5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3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01" w:type="dxa"/>
            <w:tcBorders/>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3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1" w:type="dxa"/>
            <w:tcBorders/>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both"/>
              <w:rPr/>
            </w:pPr>
            <w:r>
              <w:rPr/>
              <w:t> </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both"/>
              <w:rPr/>
            </w:pPr>
            <w:r>
              <w:rPr/>
              <w:t> </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both"/>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01" w:type="dxa"/>
            <w:tcBorders/>
            <w:shd w:fill="FFFFFF" w:val="cle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(1,414</w:t>
            </w:r>
          </w:p>
        </w:tc>
        <w:tc>
          <w:tcPr>
            <w:tcW w:w="13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(3,215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15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(1,992</w:t>
            </w:r>
          </w:p>
        </w:tc>
        <w:tc>
          <w:tcPr>
            <w:tcW w:w="10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both"/>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both"/>
              <w:rPr/>
            </w:pPr>
            <w:r>
              <w:rPr/>
              <w:t> </w:t>
            </w:r>
          </w:p>
        </w:tc>
        <w:tc>
          <w:tcPr>
            <w:tcW w:w="1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both"/>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long-term investments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 before income tax benefit/(expense)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(1,274</w:t>
            </w:r>
          </w:p>
        </w:tc>
        <w:tc>
          <w:tcPr>
            <w:tcW w:w="13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(1,905</w:t>
            </w:r>
          </w:p>
        </w:tc>
        <w:tc>
          <w:tcPr>
            <w:tcW w:w="10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2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(1,275</w:t>
            </w:r>
          </w:p>
        </w:tc>
        <w:tc>
          <w:tcPr>
            <w:tcW w:w="13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6"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(1,905</w:t>
            </w:r>
          </w:p>
        </w:tc>
        <w:tc>
          <w:tcPr>
            <w:tcW w:w="10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2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(1,276</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CCEE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6" w:type="dxa"/>
            <w:tcBorders/>
            <w:shd w:fill="CCEEFF" w:val="clear"/>
            <w:vAlign w:val="center"/>
          </w:tcPr>
          <w:p>
            <w:pPr>
              <w:pStyle w:val="TableContents"/>
              <w:bidi w:val="0"/>
              <w:spacing w:before="0" w:after="283"/>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(1,914</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set forth a breakdown of our total revenues, disaggregated by type of services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7"/>
        <w:gridCol w:w="60"/>
        <w:gridCol w:w="244"/>
        <w:gridCol w:w="949"/>
        <w:gridCol w:w="116"/>
        <w:gridCol w:w="116"/>
        <w:gridCol w:w="116"/>
        <w:gridCol w:w="743"/>
        <w:gridCol w:w="360"/>
        <w:gridCol w:w="116"/>
        <w:gridCol w:w="244"/>
        <w:gridCol w:w="1154"/>
        <w:gridCol w:w="116"/>
        <w:gridCol w:w="116"/>
        <w:gridCol w:w="116"/>
        <w:gridCol w:w="743"/>
        <w:gridCol w:w="209"/>
      </w:tblGrid>
      <w:tr>
        <w:trPr/>
        <w:tc>
          <w:tcPr>
            <w:tcW w:w="46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4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24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4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r>
      <w:tr>
        <w:trPr/>
        <w:tc>
          <w:tcPr>
            <w:tcW w:w="46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3,073</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9,740</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9" w:type="dxa"/>
            <w:tcBorders/>
            <w:shd w:fill="FFFFFF" w:val="clear"/>
            <w:vAlign w:val="center"/>
          </w:tcPr>
          <w:p>
            <w:pPr>
              <w:pStyle w:val="TableContents"/>
              <w:bidi w:val="0"/>
              <w:spacing w:before="0" w:after="283"/>
              <w:jc w:val="left"/>
              <w:rPr/>
            </w:pPr>
            <w:r>
              <w:rPr/>
              <w:t> </w:t>
            </w:r>
          </w:p>
        </w:tc>
      </w:tr>
      <w:tr>
        <w:trPr/>
        <w:tc>
          <w:tcPr>
            <w:tcW w:w="46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36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0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3"/>
        <w:gridCol w:w="60"/>
        <w:gridCol w:w="252"/>
        <w:gridCol w:w="987"/>
        <w:gridCol w:w="121"/>
        <w:gridCol w:w="121"/>
        <w:gridCol w:w="121"/>
        <w:gridCol w:w="773"/>
        <w:gridCol w:w="375"/>
        <w:gridCol w:w="121"/>
        <w:gridCol w:w="252"/>
        <w:gridCol w:w="987"/>
        <w:gridCol w:w="121"/>
        <w:gridCol w:w="121"/>
        <w:gridCol w:w="121"/>
        <w:gridCol w:w="773"/>
        <w:gridCol w:w="206"/>
      </w:tblGrid>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4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75"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23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4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data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w:t>
            </w:r>
          </w:p>
        </w:tc>
        <w:tc>
          <w:tcPr>
            <w:tcW w:w="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w:t>
            </w:r>
          </w:p>
        </w:tc>
        <w:tc>
          <w:tcPr>
            <w:tcW w:w="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6" w:type="dxa"/>
            <w:tcBorders/>
            <w:shd w:fill="FFFFFF" w:val="clear"/>
            <w:vAlign w:val="center"/>
          </w:tcPr>
          <w:p>
            <w:pPr>
              <w:pStyle w:val="TableContents"/>
              <w:bidi w:val="0"/>
              <w:spacing w:before="0" w:after="283"/>
              <w:jc w:val="left"/>
              <w:rPr/>
            </w:pPr>
            <w:r>
              <w:rPr/>
              <w:t> </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Total Revenues:</w:t>
      </w:r>
      <w:r>
        <w:rPr>
          <w:rFonts w:ascii="Times New Roman" w:hAnsi="Times New Roman"/>
          <w:caps w:val="false"/>
          <w:smallCaps w:val="false"/>
          <w:sz w:val="20"/>
        </w:rPr>
        <w:t xml:space="preserve"> Our total revenues decreased to US$3.92 million and US$1.72 million for the nine and three months ended September 30, 2025, respectively, from US$13.19 million and US$3.24 million for the same periods last year, respectively, which was primarily due to winding down of our main stream business segment - distribution of the right to use search engine marketing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Internet advertising revenues for both the nine and three months ended September 30, 2025 was approximately US$3.07 million and US$1.63 million respectively, compared with US$2.7 million and US$2.7 million for the nine and three months ended September 30, 2024, respectively. The increase primarily resulted from the Company’s shift in focus towards higher-margin business segments, including influencer marketing, marketing and branding strategy services, creative development, digital advertising management services and other related digital marketing services for Hong Kong and overseas clients.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generated from distribution of the right to use search engine marketing service for the nine and three months ended September 30, 2025 was approximately US$0.05 million and US$0.001 million, respectively, compared with approximately US9.74 million and US$0.54 million for the nine and three months ended September 30, 2024, respectively. The decrease was mainly due to winding down of our distribution of the right to use search engine marketing service in the PRC, after experiencing low to negative margins in this business segment over the past several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generated from IP licensing services for the nine and three months ended September 30, 2025 was approximately US$0.18 million and US$0.08 million, respectively, compared with nil for the same periods last year. The increase primarily resulted from the licensing of intellectual property acquired from Rahula.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2025, we generated approximately US$0.62 million and nil in revenue from our blockchain-based SaaS services, respectively, compared with approximately US$0.75 million and nil for the nine and three months ended September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cost of revenues consisted of costs directly related to the offering of our Internet advertising, precision marketing and related data and technical services, and software platform amortization cost related to our blockchain-based SaaS service. The following table sets forth our cost of revenues, disaggregated by type of services, by amount and gross profit ratio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2"/>
        <w:gridCol w:w="60"/>
        <w:gridCol w:w="166"/>
        <w:gridCol w:w="630"/>
        <w:gridCol w:w="75"/>
        <w:gridCol w:w="75"/>
        <w:gridCol w:w="157"/>
        <w:gridCol w:w="611"/>
        <w:gridCol w:w="75"/>
        <w:gridCol w:w="75"/>
        <w:gridCol w:w="85"/>
        <w:gridCol w:w="542"/>
        <w:gridCol w:w="232"/>
        <w:gridCol w:w="75"/>
        <w:gridCol w:w="162"/>
        <w:gridCol w:w="743"/>
        <w:gridCol w:w="75"/>
        <w:gridCol w:w="75"/>
        <w:gridCol w:w="157"/>
        <w:gridCol w:w="743"/>
        <w:gridCol w:w="75"/>
        <w:gridCol w:w="75"/>
        <w:gridCol w:w="85"/>
        <w:gridCol w:w="542"/>
        <w:gridCol w:w="213"/>
      </w:tblGrid>
      <w:tr>
        <w:trPr/>
        <w:tc>
          <w:tcPr>
            <w:tcW w:w="4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3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273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3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r>
      <w:tr>
        <w:trPr/>
        <w:tc>
          <w:tcPr>
            <w:tcW w:w="4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3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jc w:val="left"/>
              <w:rPr/>
            </w:pPr>
            <w:r>
              <w:rPr/>
              <w:t> </w:t>
            </w:r>
          </w:p>
        </w:tc>
      </w:tr>
      <w:tr>
        <w:trPr/>
        <w:tc>
          <w:tcPr>
            <w:tcW w:w="4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2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9"/>
        <w:gridCol w:w="60"/>
        <w:gridCol w:w="177"/>
        <w:gridCol w:w="662"/>
        <w:gridCol w:w="79"/>
        <w:gridCol w:w="79"/>
        <w:gridCol w:w="166"/>
        <w:gridCol w:w="645"/>
        <w:gridCol w:w="79"/>
        <w:gridCol w:w="79"/>
        <w:gridCol w:w="85"/>
        <w:gridCol w:w="544"/>
        <w:gridCol w:w="246"/>
        <w:gridCol w:w="79"/>
        <w:gridCol w:w="177"/>
        <w:gridCol w:w="662"/>
        <w:gridCol w:w="79"/>
        <w:gridCol w:w="79"/>
        <w:gridCol w:w="166"/>
        <w:gridCol w:w="645"/>
        <w:gridCol w:w="79"/>
        <w:gridCol w:w="79"/>
        <w:gridCol w:w="94"/>
        <w:gridCol w:w="525"/>
        <w:gridCol w:w="211"/>
      </w:tblGrid>
      <w:tr>
        <w:trPr/>
        <w:tc>
          <w:tcPr>
            <w:tcW w:w="4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0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1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6"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25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1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0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1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46"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1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44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1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5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shd w:fill="FFFFFF" w:val="clear"/>
            <w:vAlign w:val="center"/>
          </w:tcPr>
          <w:p>
            <w:pPr>
              <w:pStyle w:val="TableContents"/>
              <w:bidi w:val="0"/>
              <w:spacing w:before="0" w:after="283"/>
              <w:jc w:val="left"/>
              <w:rPr/>
            </w:pPr>
            <w:r>
              <w:rPr/>
              <w:t> </w:t>
            </w:r>
          </w:p>
        </w:tc>
      </w:tr>
      <w:tr>
        <w:trPr/>
        <w:tc>
          <w:tcPr>
            <w:tcW w:w="44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revenues: </w:t>
      </w:r>
      <w:r>
        <w:rPr>
          <w:rFonts w:ascii="Times New Roman" w:hAnsi="Times New Roman"/>
          <w:caps w:val="false"/>
          <w:smallCaps w:val="false"/>
          <w:sz w:val="20"/>
        </w:rPr>
        <w:t>Our total cost of revenues decreased to US$3.61 million and US$1.62 million for the nine and three months ended September 30, 2025, respectively, from US$12.74 million and US$3.18 million for the nine and three months ended September 30, 2024, respectively. Our cost of revenues primarily consists of search engine marketing resources purchased from key search engines, influencer agency costs, cost of marketing services, amortization of intellectual property cost, software platform amortization cost related to our blockchain-based SaaS service, costs relating to enhancing our blockchain-based SaaS services and other direct costs associated with providing our services. The decrease in our total cost of revenues for the nine and three months ended September 30, 2025 was primarily due to the reduced costs associated with distribution of the right to use search engine marketing service purchased from key search engines during the periods. This decrease was in line with the decrease in the related revenues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internet advertising and marketing service primarily consist of fees paid to service providers who support delivering media planning, creative development, and digital ad management services to our Hong Kong and overseas clients. Our costs also include the cost of operating our influencer marketing services which includes the fees for collaborating with various influencer agencies. For the nine and three months ended September 30, 2025, our total cost of revenues for Internet advertising and marketing service was approximately US$2.88 million and US$1.56 million, respectively, compared with approximately US$2.43 million for the nine and three months ended September 30, 2024. The gross margin rate of our Internet advertising and data service was 6.2% and 4.6% for the nine and three months ended September 30, 2025, respectively, compared with 10% for the nine and three months ended September 30,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distribution of the right to use search engine marketing service was direct search engine resources consumed for the right to use search engine marketing service that we purchased from key search engines and distributed to our customers. We purchased these search engine resources from well-known search engines and/or their delegated agencies in China, for example, Baidu, Qihu 360 and Sohu (Sogou) etc. We purchased the resources in relatively large amounts under our own name at a relatively lower rate compared to the market rates. We charged our clients the actual cost they consumed on search engines for the use of this service and a premium at certain percentage of that actual consumed cost. For the nine and three months ended September 30, 2024, our total cost of revenues for distribution of the right to use search engine marketing service was US$0.04 million and US$0.001 million, respectively, compared with US$9.67 million and US$0.54 million for the same periods last year, respectively. The decrease in cost of revenues for the nine and three months ended September 30, 2025 was in line with the decrease in revenues from this business category. Gross margin rate of this business category was 20% and nil for the nine and three months ended September 30, 2025, respectively, compared with 0.7% and -0.9% gross margin rate incurred for the same periods last year,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our IP licensing services primarily consist of the amortized cost of the intellectual properties we acquired from Rahula. For the nine and three months ended September 30, 2025, cost for our IP licensing services was approximately US$0.13 million and 0.06 million compared to nil in the same period last year. Gross margin rate of this business category was 26.8% for both nine and three months ended September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2025, cost for our blockchain-based SaaS services was approximately US$0.56 million and nil, respectively, compared with approximately US$0.63 million and US$0.21 million for the nine and three months ended September 30, 2024, respectively. Costs for our blockchain-based SaaS services consist of the amortized cost of our self-developed BIF platform and costs relating to enhancing our blockchain-based SaaS services. Gross margin rate of this business category was 8.9% and nil for the nine and three months ended September 30, 2025, respectively, compared with 15.9% and nil for the same periods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foregoing, for the nine and three months ended September 30, 2025, we incurred a gross profit of approximately US$0.31 million and US$0.1 million, respectively, compared to approximately US$0.46 million and US$0.06 million for the nine and three months ended September 30, 2024. Our overall gross margin was 7.8% and 5.7% for the nine and three months ended September 30, 2025, respectively, compared with 3.5% and 1.7% for the same periods last year, respectively. The increase in overall gross margin was primarily due to the increase in revenue of our higher-margin internet advertising and related marketing service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operating expenses consist of sales and marketing expenses, general and administrative expenses and research and development expenses. The following tables set forth our operating expenses, divided into their major categories by amount and as a percentage of our total revenues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086" w:type="dxa"/>
        <w:jc w:val="left"/>
        <w:tblInd w:w="0" w:type="dxa"/>
        <w:tblLayout w:type="fixed"/>
        <w:tblCellMar>
          <w:top w:w="0" w:type="dxa"/>
          <w:left w:w="0" w:type="dxa"/>
          <w:bottom w:w="0" w:type="dxa"/>
          <w:right w:w="0" w:type="dxa"/>
        </w:tblCellMar>
      </w:tblPr>
      <w:tblGrid>
        <w:gridCol w:w="3005"/>
        <w:gridCol w:w="60"/>
        <w:gridCol w:w="263"/>
        <w:gridCol w:w="1023"/>
        <w:gridCol w:w="126"/>
        <w:gridCol w:w="126"/>
        <w:gridCol w:w="204"/>
        <w:gridCol w:w="1300"/>
        <w:gridCol w:w="389"/>
        <w:gridCol w:w="126"/>
        <w:gridCol w:w="263"/>
        <w:gridCol w:w="1245"/>
        <w:gridCol w:w="126"/>
        <w:gridCol w:w="126"/>
        <w:gridCol w:w="204"/>
        <w:gridCol w:w="1300"/>
        <w:gridCol w:w="20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2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89"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32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2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26"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389"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15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26"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profit/(loss)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3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8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3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3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887" w:type="dxa"/>
        <w:jc w:val="left"/>
        <w:tblInd w:w="0" w:type="dxa"/>
        <w:tblLayout w:type="fixed"/>
        <w:tblCellMar>
          <w:top w:w="0" w:type="dxa"/>
          <w:left w:w="0" w:type="dxa"/>
          <w:bottom w:w="0" w:type="dxa"/>
          <w:right w:w="0" w:type="dxa"/>
        </w:tblCellMar>
      </w:tblPr>
      <w:tblGrid>
        <w:gridCol w:w="3005"/>
        <w:gridCol w:w="60"/>
        <w:gridCol w:w="273"/>
        <w:gridCol w:w="1066"/>
        <w:gridCol w:w="131"/>
        <w:gridCol w:w="131"/>
        <w:gridCol w:w="204"/>
        <w:gridCol w:w="1300"/>
        <w:gridCol w:w="406"/>
        <w:gridCol w:w="131"/>
        <w:gridCol w:w="273"/>
        <w:gridCol w:w="1066"/>
        <w:gridCol w:w="131"/>
        <w:gridCol w:w="131"/>
        <w:gridCol w:w="204"/>
        <w:gridCol w:w="1300"/>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31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7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7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jc w:val="righ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profit/(loss)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4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75" w:type="dxa"/>
            <w:tcBorders/>
            <w:shd w:fill="FFFFFF" w:val="clear"/>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75" w:type="dxa"/>
            <w:tcBorders/>
            <w:shd w:fill="FFFFFF" w:val="clear"/>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40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Operating Expenses: </w:t>
      </w:r>
      <w:r>
        <w:rPr>
          <w:rFonts w:ascii="Times New Roman" w:hAnsi="Times New Roman"/>
          <w:caps w:val="false"/>
          <w:smallCaps w:val="false"/>
          <w:sz w:val="20"/>
        </w:rPr>
        <w:t>Our total operating expenses was approximately US$1.72 million and US$0.25 million for the nine and three months ended September 30, 2025, respectively, compared with approximately US$3.67 million and US$2.05 million for the nine and three months ended September 30,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marketing expenses: Sales and marketing expenses was nil for the nine and three months ended September 30, 2025, respectively, compared with approximately US$0.21 million and US$0.08 million for the nine and three months ended September 30, 2024, respectively. Our sales and marketing expenses primarily consist of staff salaries and benefits, performance bonuses, travel expenses, communication expenses and other general office expenses of our sales department. Due to certain aspects of our business nature, the fluctuation of our sales and marketing expenses usually does not have a direct linear relationship with the fluctuation of our net revenues.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General and administrative expenses was US$1.72 million and US$0.25 million for the nine and three months ended September 30, 2025, respectively, compared with US$3.46 million and US$1.97 million for the nine and three months ended September 30, 2024, respectively. Our general and administrative expenses primarily consist of salaries and benefits of management, accounting, human resources and administrative personnel, office rentals, depreciation of office equipment, allowance for doubtful accounts, professional service fees, maintenance, utilities and other general office expenses of our supporting and administrative departments. For the nine months ended September 30, 2025, the change in our general and administrative expenses was primarily due to the following reasons: (1) the decrease in share-based compensation expenses of approximately US$1.30 million; (2) the decrease in allowance for expected credit losses of approximately US$0.09 million; and (3) the decrease in other general administrative expenses of approximately US$0.45 million, as a result of the cost reduction plan executed by the management. For the three months ended September 30, 2025, the changes in our general and administrative expenses was primarily attributable to the following reasons: (1) the decrease in share-based compensation expenses of approximately US$1.58 million; (2) the decrease in other general administrative expenses of approximately US$0.05 million, as a result of the cost reduction plan executed by management; and (3) the decrease in allowance for expected credit losses of approximately US$0.12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from operations: </w:t>
      </w:r>
      <w:r>
        <w:rPr>
          <w:rFonts w:ascii="Times New Roman" w:hAnsi="Times New Roman"/>
          <w:caps w:val="false"/>
          <w:smallCaps w:val="false"/>
          <w:sz w:val="20"/>
        </w:rPr>
        <w:t>As a result of the foregoing, we incurred a loss from operations of approximately US$1.41 million and US$3.22 million for the nine months ended September 30, 2025 and 2024, respectively. For the three months ended September 30, 2025 and 2024, we incurred a loss from operations of approximately US$0.15 million and US$1.99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For the nine and three months ended September 30, 2025, interest income recognized were primarily related to the interest we earned from the short-term loans we provided to unrelated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Impairment on long-term investments: </w:t>
      </w:r>
      <w:r>
        <w:rPr>
          <w:rFonts w:ascii="Times New Roman" w:hAnsi="Times New Roman"/>
          <w:caps w:val="false"/>
          <w:smallCaps w:val="false"/>
          <w:sz w:val="20"/>
        </w:rPr>
        <w:t>For the nine months ended September 30, 2025, we recognized nil in impairment loss on long-term investments. For the nine months ended September 30, 2024, we recognized approximately US$0.002 million in impairment loss on long-term investments, which was related to our cash investments in one of our unconsolidated investee entities whose business activities had become dormant.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before income tax benefit/(expense): </w:t>
      </w:r>
      <w:r>
        <w:rPr>
          <w:rFonts w:ascii="Times New Roman" w:hAnsi="Times New Roman"/>
          <w:caps w:val="false"/>
          <w:smallCaps w:val="false"/>
          <w:sz w:val="20"/>
        </w:rPr>
        <w:t>As a result of the foregoing, our loss before income tax benefit was approximately US$1.27 million and US$2.99 million for the nine months ended September 30, 2025 and 2024, respectively. For the three months ended September 30, 2025, we incurred an approximately US$0.11 million loss before income tax expense, compared with an approximately US$1.91 million loss before income tax expense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Income Tax benefit/(expense):</w:t>
      </w:r>
      <w:r>
        <w:rPr>
          <w:rFonts w:ascii="Times New Roman" w:hAnsi="Times New Roman"/>
          <w:caps w:val="false"/>
          <w:smallCaps w:val="false"/>
          <w:sz w:val="20"/>
        </w:rPr>
        <w:t xml:space="preserve"> For the nine months ended September 30, 2025 and 2024, we recognized approximately US$0.001 million in income tax expense and US$0.004 million in income tax benefits. For the three months ended September 30, 2025 and 2024, we recognized approximately US$0.001 million and nil, respectively, in income tax expenses. These benefits were related to the net operating loss incurred by one of our operating VIEs for each respective period. We anticipate these losses will likely be utilized against future earnings of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loss: </w:t>
      </w:r>
      <w:r>
        <w:rPr>
          <w:rFonts w:ascii="Times New Roman" w:hAnsi="Times New Roman"/>
          <w:caps w:val="false"/>
          <w:smallCaps w:val="false"/>
          <w:sz w:val="20"/>
        </w:rPr>
        <w:t>As a result of the foregoing, for the nine months ended September 30, 2025 and 2024, we incurred a total net loss of approximately US$1.28 million and US$2.99 million, respectively. For the three months ended September 30, 2025, we recognized a net loss of approximately US$0.11 million, compared with a net loss of approximately US$1.91 million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Transfer within Our Organization and the Related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are a Nevada holding company with operations primarily conducted in China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we conduct our operations primarily in China through our PRC subsidiaries, VIEs and their subsidiaries, and we intend to transfer most of our cash raised from the U.S. stock market to these operating entities to support their operations and expansions,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September 30, 2025 and December 31, 2024, net assets restricted in the aggregate, which include paid-in capital and statutory reserve funds of our PRC subsidiaries, the consolidated VIEs and their subsidiaries that are included in our consolidated net assets, were approximately US$13.16 million and US$13.31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our WFOE. However, arrangements and transactions among affiliated entities may be subject to audit or challenge by the PRC tax authorities. If at any time the VIE agreements and the related fee structure between the consolidated VIEs and our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 To date, the VIEs have settled to our WFOE the amount owed under the VIE agreements of RMB15.25 million (approximately US$2.27 million)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do not have any present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Analysis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represent cash on hand and deposits held at call with banks. We consider all highly liquid investments with original maturities of three months or less at the time of purchase to be cash equivalents. As of September 30, 2025, we had cash and cash equivalents of approximately US$1.76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liquidity needs include (i) net cash used in operating activities that consists of (a) cash required to fund the initial build-out, continued expansion of our network and new services and (b) our working capital needs, which include deposits and advance payments to advertising resources providers, payment of our operating expenses and financing of our accounts receivable; and (ii) net cash used in investing activities that consist of the investment to expand technologies related to our existing and future business activities, investment to enhance the functionality of our current advertising portals for providing advertising, marketing and data services and to secure the safety of our general network, and investment to establish joint ventures with strategic partners for the development of new technologies and services. To date, we have financed our liquidity needs primarily through proceeds we generated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detailed information about our net cash flow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137" w:type="dxa"/>
        <w:jc w:val="left"/>
        <w:tblInd w:w="0" w:type="dxa"/>
        <w:tblLayout w:type="fixed"/>
        <w:tblCellMar>
          <w:top w:w="0" w:type="dxa"/>
          <w:left w:w="0" w:type="dxa"/>
          <w:bottom w:w="0" w:type="dxa"/>
          <w:right w:w="0" w:type="dxa"/>
        </w:tblCellMar>
      </w:tblPr>
      <w:tblGrid>
        <w:gridCol w:w="3980"/>
        <w:gridCol w:w="60"/>
        <w:gridCol w:w="264"/>
        <w:gridCol w:w="1026"/>
        <w:gridCol w:w="169"/>
        <w:gridCol w:w="126"/>
        <w:gridCol w:w="264"/>
        <w:gridCol w:w="1153"/>
        <w:gridCol w:w="9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9"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of US dollars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9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1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p>
        </w:tc>
        <w:tc>
          <w:tcPr>
            <w:tcW w:w="9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exchange rate changes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our net cash used in operating activities of approximately US$0.78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excluding approximately US$0.16 million of non-cash expenses of depreciation and amortizations, approximately US$0.04 million amortization of operating lease right-of-use assets, approximately US$0.35 million of share-based compensation expenses, approximately US$0.69 million allowance for credit losses and approximately US$0.14 million non-operating income, yielded the non-cash, non-operating items excluded net loss of approximately US$0.19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80"/>
        <w:gridCol w:w="51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US$0.11 million;</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80"/>
        <w:gridCol w:w="54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decreased by approximately US$0.21 million;</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80"/>
        <w:gridCol w:w="545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 decreased by approximately US$0.005 million;</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60"/>
        <w:gridCol w:w="80"/>
        <w:gridCol w:w="49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4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advances from customers increased by US$0.07 million; and</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80"/>
        <w:gridCol w:w="48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4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payable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US$0.55 million;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80"/>
        <w:gridCol w:w="593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 decreased by approximately US$0.02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other current liabilities and operating lease liabilities decreased by approximately US$0.44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our net cash used in operating activities of approximately US$1.23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excluding approximately US$0.71 million of non-cash expenses of depreciation and amortizations, approximately US$0.02 million amortization of operating lease right-of-use assets, approximately US$1.64 million of share-based compensation expenses, approximately US$0.02 million of gain on disposal of subsidiaries, approximately US$0.002 million impairment on long-term investments, approximately US$0.003 million loss on disposal of fixed assets, approximately US$0.77 million allowance for credit losses, approximately US$0.004 million deferred tax benefit and approximately US$0.23 million non-operating income, yielded the non-cash, non-operating items excluded net loss of approximately US$0.10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80"/>
        <w:gridCol w:w="552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US$0.30 million; and</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80"/>
        <w:gridCol w:w="71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 and taxes payable increased by approximately US$0.39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80"/>
        <w:gridCol w:w="53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increased by approximately US$1.43 million;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80"/>
        <w:gridCol w:w="617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advances from customers decreased by approximately US$0.09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and operating lease liabilities decreased by approximately US$0.02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(1) we purchased office equipment and leasehold improvements of approximately US$0.07 million; (2) we received repayment of short-term loans and interest income of approximately US$1.12 million; and (3) we purchased intellectual property of approximately US$0.60 million through the acquisition of Rahula. In the aggregate, these transactions resulted in a net cash inflow from investing activities of approximately US$0.46 million for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(1) we purchased office equipment of approximately US$0.003 million; (2) we made an additional investment of approximately US$0.002 million to one of our unconsolidated investee entities; (3) we collected US$0.49 million in short-term loan principal from short-term loans we provided to unrelated parties in previous periods; (4) we received total interest payment of approximately US$0.41 million, which was attributable to short-term loans we provided to unrelated parties in previous periods; (5) we received approximately US$0.15 million in proceeds from the disposal of long-term investments; (6) we acquired cash of approximately US$0.009 million through the acquisition of a 51% equity interest in Beijing Yi En; (7) we recognized deconsolidation of cash during the period of US$0.006 million; and (8) we made deposits on investment contracts of approximately US$0.40 million. In the aggregate, these transactions resulted in a net cash inflow from investing activities of approximately US$0.65 million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 xml:space="preserve">Net cash provided by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we received an advance from investors of approximately US$1.28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capital contribution from noncontrolling interests was approximately US$0.07 million and we received advances from investors of approximately US$0.81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Future Liquidity, Material Cash Requirements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future short-term liquidity needs within 12 months from the date hereof primarily include working capital for influencer marketing and digital marketing services and payments for our operating expenses, which mainly consist of office rentals and employee salary and benefit.</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plans to optimize its internet resources cost investment strategy to improve the gross profit margin of its core business and to further strengthen the accounts receivables collection management, and negotiate with major suppliers for more favorable payment terms, all of which will help to substantially increase the cashflows from operations. In addition, as we wind down our search engine marketing distribution service in the PRC, we are seeing an improvement in our gross margins as well as significantly reduced operating expenses that will improve our cash flow and liquidity in the next 12 months. Also, in order to further develop our core business, i.e., our Internet advertising and related marketing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80" w:right="0" w:firstLine="720"/>
        <w:jc w:val="both"/>
        <w:rPr>
          <w:rFonts w:ascii="Times New Roman" w:hAnsi="Times New Roman"/>
          <w:caps w:val="false"/>
          <w:smallCaps w:val="false"/>
          <w:sz w:val="20"/>
        </w:rPr>
      </w:pPr>
      <w:bookmarkStart w:id="15" w:name="i2_end"/>
      <w:bookmarkEnd w:id="15"/>
      <w:r>
        <w:rPr>
          <w:rFonts w:ascii="Times New Roman" w:hAnsi="Times New Roman"/>
          <w:caps w:val="false"/>
          <w:smallCaps w:val="false"/>
          <w:sz w:val="20"/>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if at any time we anticipate insufficiency of our working capital, we can apply for revolving credit facility from commercial banks in the PRC to supplement our short-term liquidity deficit. We have not experienced any difficulties in obtaining such credit facility before, and this could result in fixed obligations and incremental cost of interest; (3) equity financing; (4) we plan to reduce our operating costs through optimizing the personnel structure among different offices and reduce our office leasing spaces, if needed. This may incur incremental costs related to employee layoff compensation and contract termination penalty.</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above discussion, we believe that our current cash and cash equivalents, our anticipated new cash flows from operations and investing and financing activities, and our other liquidity improving measures will ensure we have sufficient cash to meet our obligations as they become due within the next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 w:hAnsi="Times New Roman"/>
          <w:caps w:val="false"/>
          <w:smallCaps w:val="false"/>
          <w:sz w:val="20"/>
        </w:rPr>
      </w:pPr>
      <w:r>
        <w:rPr>
          <w:rFonts w:ascii="Times New Roman" w:hAnsi="Times New Roman"/>
          <w:caps w:val="false"/>
          <w:smallCaps w:val="false"/>
          <w:sz w:val="20"/>
        </w:rPr>
        <w:t>In the long term, beyond the next 12 months, we plan to further broaden the application scenarios of our blockchain-based SaaS services to be offered to the customers, continue expanding our core Internet advertising and marketing business through acquisitions, and develop Internet advertising and marketing channels that target overseas Internet users.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Off-Balance Sheet Arrangements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Disclosure of 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2022, we obtained a 9.9% equity interest in Hunan Yong Fu Xiang Health Management Co., Ltd (“Yong Fu Xiang”), through subscription of a RMB6.73 million (approximately US$0.98 million) registered capital of the entity in cash, which amount was committed to be paid up before December 31, 2065.</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 w:hAnsi="Times New Roman"/>
          <w:caps w:val="false"/>
          <w:smallCaps w:val="false"/>
          <w:sz w:val="20"/>
        </w:rPr>
      </w:pPr>
      <w:r>
        <w:rPr>
          <w:rFonts w:ascii="Times New Roman" w:hAnsi="Times New Roman"/>
          <w:caps w:val="false"/>
          <w:smallCaps w:val="false"/>
          <w:sz w:val="20"/>
        </w:rPr>
        <w:t>In June 2023, we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6" w:name="i3"/>
      <w:bookmarkEnd w:id="16"/>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 to smaller reporting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7" w:name="i4"/>
      <w:bookmarkEnd w:id="17"/>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accounting and financial officer, we conducted an evaluation of the effectiveness of our disclosure controls and procedures as of the fiscal quarter ended September 30, 2025, as such term is defined in Rules 13a-15(e) and 15d-15(e) under the Exchange Act. Based on this evaluation, our principal executive officer and principal financial officer have concluded that during the period covered by this report, the Company’s disclosure controls and procedures were effective as of such date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fiscal quarter of 2025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18" w:name="p2"/>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caps w:val="false"/>
          <w:smallCaps w:val="false"/>
          <w:sz w:val="20"/>
        </w:rPr>
        <w:t> </w:t>
      </w:r>
      <w:r>
        <w:rPr>
          <w:rFonts w:ascii="Times New Roman" w:hAnsi="Times New Roman"/>
          <w:b/>
          <w:caps w:val="false"/>
          <w:smallCaps w:val="false"/>
          <w:sz w:val="20"/>
        </w:rPr>
        <w:t>Legal Proceedings</w:t>
      </w:r>
      <w:bookmarkStart w:id="19" w:name="p2i1"/>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20" w:name="p2i1a"/>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This information has been omitted based on the Company’s status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bookmarkStart w:id="21" w:name="p2i2"/>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bookmarkStart w:id="22" w:name="p2i3"/>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23" w:name="p2i4"/>
      <w:bookmarkEnd w:id="2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24" w:name="p2i5"/>
      <w:bookmarkEnd w:id="2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During our fiscal quarter ended September 30, 2025, none of our directors or officers informed us of the adoption or termination of a “Rule 10b5-1 trading arrangement” or “non-Rule 10b5-1 trading arrangement” as those terms are defined in Item 408(a) of Regulation S-K.</w:t>
      </w:r>
    </w:p>
    <w:p>
      <w:pPr>
        <w:pStyle w:val="TextBody"/>
        <w:bidi w:val="0"/>
        <w:spacing w:before="0" w:after="283"/>
        <w:jc w:val="left"/>
        <w:rPr/>
      </w:pPr>
      <w:r>
        <w:rPr/>
        <w:t> </w:t>
      </w:r>
    </w:p>
    <w:p>
      <w:pPr>
        <w:pStyle w:val="TextBody"/>
        <w:bidi w:val="0"/>
        <w:spacing w:before="0" w:after="0"/>
        <w:ind w:left="1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6. Exhibits</w:t>
      </w:r>
      <w:bookmarkStart w:id="25" w:name="p2i6"/>
      <w:bookmarkEnd w:id="2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The exhibits listed on the Exhibit Index below are provided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1"/>
        <w:gridCol w:w="60"/>
        <w:gridCol w:w="9384"/>
      </w:tblGrid>
      <w:tr>
        <w:trPr/>
        <w:tc>
          <w:tcPr>
            <w:tcW w:w="7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 Description</w:t>
            </w:r>
          </w:p>
        </w:tc>
      </w:tr>
      <w:tr>
        <w:trPr/>
        <w:tc>
          <w:tcPr>
            <w:tcW w:w="761"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84164.htm">
              <w:r>
                <w:rPr>
                  <w:rStyle w:val="InternetLink"/>
                  <w:rFonts w:ascii="Times New Roman" w:hAnsi="Times New Roman"/>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884164.htm">
              <w:r>
                <w:rPr>
                  <w:rStyle w:val="InternetLink"/>
                  <w:rFonts w:ascii="Times New Roman" w:hAnsi="Times New Roman"/>
                  <w:caps w:val="false"/>
                  <w:smallCaps w:val="false"/>
                  <w:sz w:val="20"/>
                </w:rPr>
                <w:t>Certification of the Principal Executive Officer pursuant to Rule 13A-14(A)/15D-14(A) of the Securities Exchange Act of 1934, as adopted pursuant to Section 302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84165.htm">
              <w:r>
                <w:rPr>
                  <w:rStyle w:val="InternetLink"/>
                  <w:rFonts w:ascii="Times New Roman" w:hAnsi="Times New Roman"/>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884165.htm">
              <w:r>
                <w:rPr>
                  <w:rStyle w:val="InternetLink"/>
                  <w:rFonts w:ascii="Times New Roman" w:hAnsi="Times New Roman"/>
                  <w:caps w:val="false"/>
                  <w:smallCaps w:val="false"/>
                  <w:sz w:val="20"/>
                </w:rPr>
                <w:t>Certification of the Principal Accounting and Financial Officer pursuant to Rule 13A-14(A)/15D-14(A) of the Securities Exchange Act of 1934, as adopted pursuant to Section 302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84166.htm">
              <w:r>
                <w:rPr>
                  <w:rStyle w:val="InternetLink"/>
                  <w:rFonts w:ascii="Times New Roman" w:hAnsi="Times New Roman"/>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884166.htm">
              <w:r>
                <w:rPr>
                  <w:rStyle w:val="InternetLink"/>
                  <w:rFonts w:ascii="Times New Roman" w:hAnsi="Times New Roman"/>
                  <w:caps w:val="false"/>
                  <w:smallCaps w:val="false"/>
                  <w:sz w:val="20"/>
                </w:rPr>
                <w:t>Certification of the Principal Executive Officer and of the Principal Accounting and Financial Officer pursuant to 18 U.S.C. 1350 (Section 906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caps w:val="false"/>
                <w:smallCaps w:val="false"/>
              </w:rPr>
            </w:pPr>
            <w:r>
              <w:rPr>
                <w:caps w:val="false"/>
                <w:smallCaps w:val="false"/>
              </w:rPr>
              <w:t xml:space="preserve">  </w:t>
            </w: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materials are filed herewith: (i) Inline XBRL Instance, (ii) Inline XBRL Taxonomy Extension Schema, (iii) Inline XBRL Taxonomy Extension Calculation, (iv) XBRL Taxonomy Extension Labels, (v) XBRL Taxonomy Extension Presentation, and (vi) Inline XBRL Taxonomy Extension Definition.</w:t>
            </w:r>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caps w:val="false"/>
                <w:smallCaps w:val="false"/>
              </w:rPr>
            </w:pPr>
            <w:r>
              <w:rPr>
                <w:caps w:val="false"/>
                <w:smallCaps w:val="false"/>
              </w:rPr>
              <w:t xml:space="preserve">  </w:t>
            </w: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6" w:name="sig"/>
      <w:bookmarkEnd w:id="2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334" w:type="dxa"/>
        <w:jc w:val="left"/>
        <w:tblInd w:w="0" w:type="dxa"/>
        <w:tblLayout w:type="fixed"/>
        <w:tblCellMar>
          <w:top w:w="0" w:type="dxa"/>
          <w:left w:w="0" w:type="dxa"/>
          <w:bottom w:w="0" w:type="dxa"/>
          <w:right w:w="0" w:type="dxa"/>
        </w:tblCellMar>
      </w:tblPr>
      <w:tblGrid>
        <w:gridCol w:w="2105"/>
        <w:gridCol w:w="1040"/>
        <w:gridCol w:w="5189"/>
      </w:tblGrid>
      <w:tr>
        <w:trPr/>
        <w:tc>
          <w:tcPr>
            <w:tcW w:w="210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 DATA ACTION TECHNOLOGIES INC.</w:t>
            </w:r>
          </w:p>
        </w:tc>
      </w:tr>
      <w:tr>
        <w:trPr/>
        <w:tc>
          <w:tcPr>
            <w:tcW w:w="210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5189"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1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Handong Cheng</w:t>
            </w:r>
          </w:p>
        </w:tc>
      </w:tr>
      <w:tr>
        <w:trPr/>
        <w:tc>
          <w:tcPr>
            <w:tcW w:w="210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Handong Cheng</w:t>
            </w:r>
          </w:p>
        </w:tc>
      </w:tr>
      <w:tr>
        <w:trPr/>
        <w:tc>
          <w:tcPr>
            <w:tcW w:w="210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 and Acting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 Principal Accounting and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42</w:t>
      </w:r>
    </w:p>
    <w:p>
      <w:pPr>
        <w:pStyle w:val="TextBody"/>
        <w:bidi w:val="0"/>
        <w:spacing w:before="0" w:after="0"/>
        <w:ind w:left="0" w:right="0" w:hanging="0"/>
        <w:jc w:val="right"/>
        <w:rPr>
          <w:rFonts w:ascii="Times New Roman" w:hAnsi="Times New Roman"/>
          <w:b/>
          <w:caps w:val="false"/>
          <w:smallCaps w:val="false"/>
          <w:sz w:val="20"/>
        </w:rPr>
      </w:pPr>
      <w:bookmarkStart w:id="27" w:name="ex_884164.htm"/>
      <w:bookmarkStart w:id="28" w:name="ksex_884164"/>
      <w:bookmarkEnd w:id="27"/>
      <w:bookmarkEnd w:id="2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84165.htm"/>
      <w:bookmarkStart w:id="30" w:name="ksex_884165"/>
      <w:bookmarkEnd w:id="29"/>
      <w:bookmarkEnd w:id="3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884166.htm"/>
      <w:bookmarkStart w:id="32" w:name="ksex_884166"/>
      <w:bookmarkEnd w:id="31"/>
      <w:bookmarkEnd w:id="32"/>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undersigned hereby certifies, in his capacity as an officer of ZW Data Action Technologies Inc. (the “Company”), for the purposes of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Quarterly Report of the Company on Form 10-Q for the quarter ended September 30, 2025 fully complies with the requirements of Section 13a-14(b) or 15d-14(b)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22453</Words>
  <Characters>122796</Characters>
  <CharactersWithSpaces>149318</CharactersWithSpaces>
  <Paragraphs>10009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