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net20260630_10q.htm"/>
      <w:bookmarkStart w:id="1" w:name="kscnet2026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For the quarterly period ended </w:t>
      </w:r>
      <w:r>
        <w:rPr>
          <w:rFonts w:ascii="Times New Roman" w:hAnsi="Times New Roman"/>
          <w:caps w:val="false"/>
          <w:smallCaps w:val="false"/>
          <w:sz w:val="20"/>
          <w:u w:val="single"/>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 to 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Commission File Number: </w:t>
      </w:r>
      <w:r>
        <w:rPr>
          <w:rFonts w:ascii="Times New Roman" w:hAnsi="Times New Roman"/>
          <w:caps w:val="false"/>
          <w:smallCaps w:val="false"/>
          <w:sz w:val="20"/>
          <w:u w:val="single"/>
        </w:rPr>
        <w:t>001-34647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ZW Data Action Technologies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Nevada</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20-4672080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8/F. 29 Des Voeux Road Central, Central,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Hong Kong</w:t>
      </w:r>
      <w:r>
        <w:rPr>
          <w:rFonts w:ascii="Times New Roman" w:hAnsi="Times New Roman"/>
          <w:caps w:val="false"/>
          <w:smallCaps w:val="false"/>
          <w:sz w:val="20"/>
        </w:rPr>
        <w:t> </w:t>
      </w:r>
      <w:r>
        <w:rPr>
          <w:rFonts w:ascii="Times New Roman" w:hAnsi="Times New Roman"/>
          <w:b/>
          <w:caps w:val="false"/>
          <w:smallCaps w:val="false"/>
          <w:sz w:val="20"/>
        </w:rPr>
        <w:t>Special Administrative Region of the People</w:t>
      </w:r>
      <w:r>
        <w:rPr>
          <w:rFonts w:ascii="Times New Roman" w:hAnsi="Times New Roman"/>
          <w:caps w:val="false"/>
          <w:smallCaps w:val="false"/>
          <w:sz w:val="20"/>
        </w:rPr>
        <w:t>’</w:t>
      </w:r>
      <w:r>
        <w:rPr>
          <w:rFonts w:ascii="Times New Roman" w:hAnsi="Times New Roman"/>
          <w:b/>
          <w:caps w:val="false"/>
          <w:smallCaps w:val="false"/>
          <w:sz w:val="20"/>
        </w:rPr>
        <w:t>s Republic of China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+852 2669-8078</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par value $0.001</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CNET</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390"/>
        <w:gridCol w:w="2885"/>
      </w:tblGrid>
      <w:tr>
        <w:trPr/>
        <w:tc>
          <w:tcPr>
            <w:tcW w:w="2390" w:type="dxa"/>
            <w:tcBorders/>
            <w:vAlign w:val="center"/>
          </w:tcPr>
          <w:p>
            <w:pPr>
              <w:pStyle w:val="TableContents"/>
              <w:bidi w:val="0"/>
              <w:spacing w:before="0" w:after="283"/>
              <w:jc w:val="left"/>
              <w:rPr/>
            </w:pPr>
            <w:r>
              <w:rPr/>
              <w:t>Large accelerated filer ☐</w:t>
            </w:r>
          </w:p>
        </w:tc>
        <w:tc>
          <w:tcPr>
            <w:tcW w:w="2885" w:type="dxa"/>
            <w:tcBorders/>
            <w:vAlign w:val="center"/>
          </w:tcPr>
          <w:p>
            <w:pPr>
              <w:pStyle w:val="TableContents"/>
              <w:bidi w:val="0"/>
              <w:spacing w:before="0" w:after="283"/>
              <w:jc w:val="left"/>
              <w:rPr/>
            </w:pPr>
            <w:r>
              <w:rPr/>
              <w:t>Accelerated filer ☐</w:t>
            </w:r>
          </w:p>
        </w:tc>
      </w:tr>
      <w:tr>
        <w:trPr/>
        <w:tc>
          <w:tcPr>
            <w:tcW w:w="2390" w:type="dxa"/>
            <w:tcBorders/>
            <w:vAlign w:val="center"/>
          </w:tcPr>
          <w:p>
            <w:pPr>
              <w:pStyle w:val="TableContents"/>
              <w:bidi w:val="0"/>
              <w:spacing w:before="0" w:after="283"/>
              <w:jc w:val="left"/>
              <w:rPr/>
            </w:pPr>
            <w:r>
              <w:rPr/>
              <w:t>Non-accelerated filer ☒</w:t>
            </w:r>
          </w:p>
        </w:tc>
        <w:tc>
          <w:tcPr>
            <w:tcW w:w="2885" w:type="dxa"/>
            <w:tcBorders/>
            <w:vAlign w:val="center"/>
          </w:tcPr>
          <w:p>
            <w:pPr>
              <w:pStyle w:val="TableContents"/>
              <w:bidi w:val="0"/>
              <w:spacing w:before="0" w:after="283"/>
              <w:jc w:val="left"/>
              <w:rPr/>
            </w:pPr>
            <w:r>
              <w:rPr/>
              <w:t>Smaller reporting company ☒</w:t>
            </w:r>
          </w:p>
        </w:tc>
      </w:tr>
      <w:tr>
        <w:trPr/>
        <w:tc>
          <w:tcPr>
            <w:tcW w:w="23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14, 2026 the registrant had 3,668,429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9450"/>
        <w:gridCol w:w="695"/>
      </w:tblGrid>
      <w:tr>
        <w:trPr/>
        <w:tc>
          <w:tcPr>
            <w:tcW w:w="9510" w:type="dxa"/>
            <w:gridSpan w:val="2"/>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b/>
              </w:rPr>
            </w:pPr>
            <w:r>
              <w:rPr>
                <w:b/>
              </w:rPr>
              <w:t>PAGE</w:t>
            </w:r>
          </w:p>
        </w:tc>
      </w:tr>
      <w:tr>
        <w:trPr/>
        <w:tc>
          <w:tcPr>
            <w:tcW w:w="9510"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PART I. FINANCIAL INFORMATION</w:t>
              </w:r>
            </w:hyperlink>
          </w:p>
        </w:tc>
        <w:tc>
          <w:tcPr>
            <w:tcW w:w="695"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 Interim Financial Statements</w:t>
              </w:r>
            </w:hyperlink>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0"/>
              <w:ind w:left="0" w:right="0" w:hanging="0"/>
              <w:jc w:val="left"/>
              <w:rPr/>
            </w:pPr>
            <w:hyperlink w:anchor="balance">
              <w:r>
                <w:rPr>
                  <w:rStyle w:val="InternetLink"/>
                  <w:rFonts w:ascii="Times New Roman" w:hAnsi="Times New Roman"/>
                  <w:caps w:val="false"/>
                  <w:smallCaps w:val="false"/>
                  <w:sz w:val="20"/>
                </w:rPr>
                <w:t>Condensed Consolidated Balance Sheets as of June 30, 2026 (Unaudited) and December 31, 2025</w:t>
              </w:r>
            </w:hyperlink>
          </w:p>
        </w:tc>
        <w:tc>
          <w:tcPr>
            <w:tcW w:w="695" w:type="dxa"/>
            <w:tcBorders/>
            <w:vAlign w:val="center"/>
          </w:tcPr>
          <w:p>
            <w:pPr>
              <w:pStyle w:val="TableContents"/>
              <w:bidi w:val="0"/>
              <w:spacing w:before="0" w:after="0"/>
              <w:ind w:left="0" w:right="0" w:hanging="0"/>
              <w:jc w:val="center"/>
              <w:rPr/>
            </w:pPr>
            <w:hyperlink w:anchor="balance">
              <w:r>
                <w:rPr>
                  <w:rStyle w:val="InternetLink"/>
                  <w:rFonts w:ascii="Times New Roman" w:hAnsi="Times New Roman"/>
                  <w:caps w:val="false"/>
                  <w:smallCaps w:val="false"/>
                  <w:sz w:val="20"/>
                </w:rPr>
                <w:t>1</w:t>
              </w:r>
            </w:hyperlink>
            <w:r>
              <w:rPr>
                <w:rFonts w:ascii="Times New Roman" w:hAnsi="Times New Roman"/>
                <w:caps w:val="false"/>
                <w:smallCaps w:val="false"/>
                <w:sz w:val="20"/>
              </w:rPr>
              <w:t>-</w:t>
            </w:r>
            <w:hyperlink w:anchor="balance2">
              <w:r>
                <w:rPr>
                  <w:rStyle w:val="InternetLink"/>
                  <w:rFonts w:ascii="Times New Roman" w:hAnsi="Times New Roman"/>
                  <w:caps w:val="false"/>
                  <w:smallCaps w:val="false"/>
                  <w:sz w:val="20"/>
                </w:rPr>
                <w:t>2</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0"/>
              <w:ind w:left="220" w:right="0" w:hanging="220"/>
              <w:jc w:val="left"/>
              <w:rPr/>
            </w:pPr>
            <w:hyperlink w:anchor="ops_and_loss">
              <w:r>
                <w:rPr>
                  <w:rStyle w:val="InternetLink"/>
                  <w:rFonts w:ascii="Times New Roman" w:hAnsi="Times New Roman"/>
                  <w:caps w:val="false"/>
                  <w:smallCaps w:val="false"/>
                  <w:sz w:val="20"/>
                </w:rPr>
                <w:t>Condensed Consolidated Statements of Operations and Comprehensive Loss for the Six and Three Months Ended June 30, 2026 and 2025 (Unaudited)</w:t>
              </w:r>
            </w:hyperlink>
          </w:p>
        </w:tc>
        <w:tc>
          <w:tcPr>
            <w:tcW w:w="695" w:type="dxa"/>
            <w:tcBorders/>
            <w:vAlign w:val="center"/>
          </w:tcPr>
          <w:p>
            <w:pPr>
              <w:pStyle w:val="TableContents"/>
              <w:bidi w:val="0"/>
              <w:spacing w:before="0" w:after="0"/>
              <w:ind w:left="0" w:right="0" w:hanging="0"/>
              <w:jc w:val="center"/>
              <w:rPr/>
            </w:pPr>
            <w:hyperlink w:anchor="ops_and_loss">
              <w:r>
                <w:rPr>
                  <w:rStyle w:val="InternetLink"/>
                  <w:rFonts w:ascii="Times New Roman" w:hAnsi="Times New Roman"/>
                  <w:caps w:val="false"/>
                  <w:smallCaps w:val="false"/>
                  <w:sz w:val="20"/>
                </w:rPr>
                <w:t>3</w:t>
              </w:r>
            </w:hyperlink>
            <w:r>
              <w:rPr>
                <w:rFonts w:ascii="Times New Roman" w:hAnsi="Times New Roman"/>
                <w:caps w:val="false"/>
                <w:smallCaps w:val="false"/>
                <w:sz w:val="20"/>
              </w:rPr>
              <w:t>-</w:t>
            </w:r>
            <w:hyperlink w:anchor="ops_and_loss_2">
              <w:r>
                <w:rPr>
                  <w:rStyle w:val="InternetLink"/>
                  <w:rFonts w:ascii="Times New Roman" w:hAnsi="Times New Roman"/>
                  <w:caps w:val="false"/>
                  <w:smallCaps w:val="false"/>
                  <w:sz w:val="20"/>
                </w:rPr>
                <w:t>4</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0"/>
              <w:ind w:left="220" w:right="0" w:hanging="220"/>
              <w:jc w:val="left"/>
              <w:rPr/>
            </w:pPr>
            <w:hyperlink w:anchor="cash_flows">
              <w:r>
                <w:rPr>
                  <w:rStyle w:val="InternetLink"/>
                  <w:rFonts w:ascii="Times New Roman" w:hAnsi="Times New Roman"/>
                  <w:caps w:val="false"/>
                  <w:smallCaps w:val="false"/>
                  <w:sz w:val="20"/>
                </w:rPr>
                <w:t>Condensed Consolidated Statements of Cash Flows for the Six Months Ended June 30, 2026 and 2025 (Unaudited)</w:t>
              </w:r>
            </w:hyperlink>
          </w:p>
        </w:tc>
        <w:tc>
          <w:tcPr>
            <w:tcW w:w="695"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5</w:t>
              </w:r>
            </w:hyperlink>
            <w:r>
              <w:rPr>
                <w:rFonts w:ascii="Times New Roman" w:hAnsi="Times New Roman"/>
                <w:caps w:val="false"/>
                <w:smallCaps w:val="false"/>
                <w:sz w:val="20"/>
              </w:rPr>
              <w:t>-</w:t>
            </w:r>
            <w:hyperlink w:anchor="cash_flows_2">
              <w:r>
                <w:rPr>
                  <w:rStyle w:val="InternetLink"/>
                  <w:rFonts w:ascii="Times New Roman" w:hAnsi="Times New Roman"/>
                  <w:caps w:val="false"/>
                  <w:smallCaps w:val="false"/>
                  <w:sz w:val="20"/>
                </w:rPr>
                <w:t>6</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0"/>
              <w:ind w:left="220" w:right="0" w:hanging="220"/>
              <w:jc w:val="left"/>
              <w:rPr/>
            </w:pPr>
            <w:hyperlink w:anchor="equity">
              <w:r>
                <w:rPr>
                  <w:rStyle w:val="InternetLink"/>
                  <w:rFonts w:ascii="Times New Roman" w:hAnsi="Times New Roman"/>
                  <w:caps w:val="false"/>
                  <w:smallCaps w:val="false"/>
                  <w:sz w:val="20"/>
                </w:rPr>
                <w:t>Condensed Consolidated Statements of Changes in Equity for the Six and Three Months Ended June 30, 2026 and 2025 (Unaudited)</w:t>
              </w:r>
            </w:hyperlink>
          </w:p>
        </w:tc>
        <w:tc>
          <w:tcPr>
            <w:tcW w:w="695"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7</w:t>
              </w:r>
            </w:hyperlink>
            <w:r>
              <w:rPr>
                <w:rFonts w:ascii="Times New Roman" w:hAnsi="Times New Roman"/>
                <w:caps w:val="false"/>
                <w:smallCaps w:val="false"/>
                <w:sz w:val="20"/>
              </w:rPr>
              <w:t>-</w:t>
            </w:r>
            <w:hyperlink w:anchor="equity2">
              <w:r>
                <w:rPr>
                  <w:rStyle w:val="InternetLink"/>
                  <w:rFonts w:ascii="Times New Roman" w:hAnsi="Times New Roman"/>
                  <w:caps w:val="false"/>
                  <w:smallCaps w:val="false"/>
                  <w:sz w:val="20"/>
                </w:rPr>
                <w:t>8</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0"/>
              <w:ind w:left="0" w:right="0" w:hanging="0"/>
              <w:jc w:val="left"/>
              <w:rPr/>
            </w:pPr>
            <w:hyperlink w:anchor="notesatart">
              <w:r>
                <w:rPr>
                  <w:rStyle w:val="InternetLink"/>
                  <w:rFonts w:ascii="Times New Roman" w:hAnsi="Times New Roman"/>
                  <w:caps w:val="false"/>
                  <w:smallCaps w:val="false"/>
                  <w:sz w:val="20"/>
                </w:rPr>
                <w:t>Notes to Condensed Consolidated Financial Statements (Unaudited)</w:t>
              </w:r>
            </w:hyperlink>
          </w:p>
        </w:tc>
        <w:tc>
          <w:tcPr>
            <w:tcW w:w="695" w:type="dxa"/>
            <w:tcBorders/>
            <w:vAlign w:val="center"/>
          </w:tcPr>
          <w:p>
            <w:pPr>
              <w:pStyle w:val="TableContents"/>
              <w:bidi w:val="0"/>
              <w:spacing w:before="0" w:after="0"/>
              <w:ind w:left="0" w:right="0" w:hanging="0"/>
              <w:jc w:val="center"/>
              <w:rPr/>
            </w:pPr>
            <w:hyperlink w:anchor="notesatart">
              <w:r>
                <w:rPr>
                  <w:rStyle w:val="InternetLink"/>
                  <w:rFonts w:ascii="Times New Roman" w:hAnsi="Times New Roman"/>
                  <w:caps w:val="false"/>
                  <w:smallCaps w:val="false"/>
                  <w:sz w:val="20"/>
                </w:rPr>
                <w:t>9</w:t>
              </w:r>
            </w:hyperlink>
            <w:r>
              <w:rPr>
                <w:rFonts w:ascii="Times New Roman" w:hAnsi="Times New Roman"/>
                <w:caps w:val="false"/>
                <w:smallCaps w:val="false"/>
                <w:sz w:val="20"/>
              </w:rPr>
              <w:t>-</w:t>
            </w:r>
            <w:hyperlink w:anchor="notesend">
              <w:r>
                <w:rPr>
                  <w:rStyle w:val="InternetLink"/>
                  <w:rFonts w:ascii="Times New Roman" w:hAnsi="Times New Roman"/>
                  <w:caps w:val="false"/>
                  <w:smallCaps w:val="false"/>
                  <w:sz w:val="20"/>
                </w:rPr>
                <w:t>27</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Item 2. Management’s Discussion and Analysis of Financial Condition and Results of Operations</w:t>
              </w:r>
            </w:hyperlink>
          </w:p>
        </w:tc>
        <w:tc>
          <w:tcPr>
            <w:tcW w:w="695" w:type="dxa"/>
            <w:tcBorders/>
            <w:vAlign w:val="center"/>
          </w:tcPr>
          <w:p>
            <w:pPr>
              <w:pStyle w:val="TableContents"/>
              <w:bidi w:val="0"/>
              <w:spacing w:before="0" w:after="0"/>
              <w:ind w:left="0" w:right="0" w:hanging="0"/>
              <w:jc w:val="center"/>
              <w:rPr/>
            </w:pPr>
            <w:hyperlink w:anchor="i2">
              <w:r>
                <w:rPr>
                  <w:rStyle w:val="InternetLink"/>
                  <w:rFonts w:ascii="Times New Roman" w:hAnsi="Times New Roman"/>
                  <w:caps w:val="false"/>
                  <w:smallCaps w:val="false"/>
                  <w:sz w:val="20"/>
                </w:rPr>
                <w:t>28</w:t>
              </w:r>
            </w:hyperlink>
            <w:r>
              <w:rPr>
                <w:rFonts w:ascii="Times New Roman" w:hAnsi="Times New Roman"/>
                <w:caps w:val="false"/>
                <w:smallCaps w:val="false"/>
                <w:sz w:val="20"/>
              </w:rPr>
              <w:t>-</w:t>
            </w:r>
            <w:hyperlink w:anchor="i2ends">
              <w:r>
                <w:rPr>
                  <w:rStyle w:val="InternetLink"/>
                  <w:rFonts w:ascii="Times New Roman" w:hAnsi="Times New Roman"/>
                  <w:caps w:val="false"/>
                  <w:smallCaps w:val="false"/>
                  <w:sz w:val="20"/>
                </w:rPr>
                <w:t>40</w:t>
              </w:r>
            </w:hyperlink>
          </w:p>
        </w:tc>
      </w:tr>
      <w:tr>
        <w:trPr/>
        <w:tc>
          <w:tcPr>
            <w:tcW w:w="9510" w:type="dxa"/>
            <w:gridSpan w:val="2"/>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Item 3. Quantitative and Qualitative Disclosures About Market Risk</w:t>
              </w:r>
            </w:hyperlink>
          </w:p>
        </w:tc>
        <w:tc>
          <w:tcPr>
            <w:tcW w:w="695" w:type="dxa"/>
            <w:tcBorders/>
            <w:vAlign w:val="center"/>
          </w:tcPr>
          <w:p>
            <w:pPr>
              <w:pStyle w:val="TableContents"/>
              <w:bidi w:val="0"/>
              <w:spacing w:before="0" w:after="0"/>
              <w:ind w:left="0" w:right="0" w:hanging="0"/>
              <w:jc w:val="center"/>
              <w:rPr/>
            </w:pPr>
            <w:hyperlink w:anchor="i3">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Item 4. Controls and Procedures</w:t>
              </w:r>
            </w:hyperlink>
          </w:p>
        </w:tc>
        <w:tc>
          <w:tcPr>
            <w:tcW w:w="695" w:type="dxa"/>
            <w:tcBorders/>
            <w:vAlign w:val="center"/>
          </w:tcPr>
          <w:p>
            <w:pPr>
              <w:pStyle w:val="TableContents"/>
              <w:bidi w:val="0"/>
              <w:spacing w:before="0" w:after="0"/>
              <w:ind w:left="0" w:right="0" w:hanging="0"/>
              <w:jc w:val="center"/>
              <w:rPr/>
            </w:pPr>
            <w:hyperlink w:anchor="i4">
              <w:r>
                <w:rPr>
                  <w:rStyle w:val="InternetLink"/>
                  <w:rFonts w:ascii="Times New Roman" w:hAnsi="Times New Roman"/>
                  <w:caps w:val="false"/>
                  <w:smallCaps w:val="false"/>
                  <w:sz w:val="20"/>
                </w:rPr>
                <w:t>40</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
              <w:r>
                <w:rPr>
                  <w:rStyle w:val="InternetLink"/>
                  <w:rFonts w:ascii="Times New Roman" w:hAnsi="Times New Roman"/>
                  <w:b/>
                  <w:caps w:val="false"/>
                  <w:smallCaps w:val="false"/>
                  <w:sz w:val="20"/>
                </w:rPr>
                <w:t>PART II. OTHER INFORMATION</w:t>
              </w:r>
            </w:hyperlink>
          </w:p>
        </w:tc>
        <w:tc>
          <w:tcPr>
            <w:tcW w:w="6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695"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i1a">
              <w:r>
                <w:rPr>
                  <w:rStyle w:val="InternetLink"/>
                  <w:rFonts w:ascii="Times New Roman" w:hAnsi="Times New Roman"/>
                  <w:caps w:val="false"/>
                  <w:smallCaps w:val="false"/>
                  <w:sz w:val="20"/>
                </w:rPr>
                <w:t>Item 1A. Risk Factors</w:t>
              </w:r>
            </w:hyperlink>
          </w:p>
        </w:tc>
        <w:tc>
          <w:tcPr>
            <w:tcW w:w="695" w:type="dxa"/>
            <w:tcBorders/>
            <w:vAlign w:val="center"/>
          </w:tcPr>
          <w:p>
            <w:pPr>
              <w:pStyle w:val="TableContents"/>
              <w:bidi w:val="0"/>
              <w:spacing w:before="0" w:after="0"/>
              <w:ind w:left="0" w:right="0" w:hanging="0"/>
              <w:jc w:val="center"/>
              <w:rPr/>
            </w:pPr>
            <w:hyperlink w:anchor="i1a">
              <w:r>
                <w:rPr>
                  <w:rStyle w:val="InternetLink"/>
                  <w:rFonts w:ascii="Times New Roman" w:hAnsi="Times New Roman"/>
                  <w:caps w:val="false"/>
                  <w:smallCaps w:val="false"/>
                  <w:sz w:val="20"/>
                </w:rPr>
                <w:t>41</w:t>
              </w:r>
            </w:hyperlink>
          </w:p>
        </w:tc>
      </w:tr>
      <w:tr>
        <w:trPr/>
        <w:tc>
          <w:tcPr>
            <w:tcW w:w="9510" w:type="dxa"/>
            <w:gridSpan w:val="2"/>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695"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695"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41</w:t>
              </w:r>
            </w:hyperlink>
          </w:p>
        </w:tc>
      </w:tr>
      <w:tr>
        <w:trPr/>
        <w:tc>
          <w:tcPr>
            <w:tcW w:w="9510" w:type="dxa"/>
            <w:gridSpan w:val="2"/>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695"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695"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41</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695"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42</w:t>
              </w:r>
            </w:hyperlink>
          </w:p>
        </w:tc>
      </w:tr>
      <w:tr>
        <w:trPr/>
        <w:tc>
          <w:tcPr>
            <w:tcW w:w="60" w:type="dxa"/>
            <w:tcBorders/>
            <w:vAlign w:val="center"/>
          </w:tcPr>
          <w:p>
            <w:pPr>
              <w:pStyle w:val="TableContents"/>
              <w:bidi w:val="0"/>
              <w:spacing w:before="0" w:after="283"/>
              <w:jc w:val="left"/>
              <w:rPr/>
            </w:pPr>
            <w:r>
              <w:rPr/>
              <w:t> </w:t>
            </w:r>
          </w:p>
        </w:tc>
        <w:tc>
          <w:tcPr>
            <w:tcW w:w="945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r>
      <w:tr>
        <w:trPr/>
        <w:tc>
          <w:tcPr>
            <w:tcW w:w="9510" w:type="dxa"/>
            <w:gridSpan w:val="2"/>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695"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43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xml:space="preserve">  </w:t>
      </w:r>
      <w:r>
        <w:rPr>
          <w:rFonts w:ascii="Times New Roman" w:hAnsi="Times New Roman"/>
          <w:b/>
          <w:caps w:val="false"/>
          <w:smallCaps w:val="false"/>
          <w:sz w:val="20"/>
        </w:rPr>
        <w:t>FINANCIAL INFORMATION</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Interim Financial Statements</w:t>
      </w:r>
      <w:bookmarkStart w:id="3" w:name="i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w:t>
      </w:r>
      <w:r>
        <w:rPr>
          <w:rFonts w:ascii="Times New Roman" w:hAnsi="Times New Roman"/>
          <w:caps w:val="false"/>
          <w:smallCaps w:val="false"/>
          <w:sz w:val="20"/>
        </w:rPr>
        <w:t>“</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 xml:space="preserve">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2025.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4" w:name="balance"/>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9733" w:type="dxa"/>
        <w:jc w:val="left"/>
        <w:tblInd w:w="0" w:type="dxa"/>
        <w:tblLayout w:type="fixed"/>
        <w:tblCellMar>
          <w:top w:w="0" w:type="dxa"/>
          <w:left w:w="0" w:type="dxa"/>
          <w:bottom w:w="0" w:type="dxa"/>
          <w:right w:w="0" w:type="dxa"/>
        </w:tblCellMar>
      </w:tblPr>
      <w:tblGrid>
        <w:gridCol w:w="7265"/>
        <w:gridCol w:w="60"/>
        <w:gridCol w:w="206"/>
        <w:gridCol w:w="803"/>
        <w:gridCol w:w="60"/>
        <w:gridCol w:w="60"/>
        <w:gridCol w:w="249"/>
        <w:gridCol w:w="970"/>
        <w:gridCol w:w="60"/>
      </w:tblGrid>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 of allowance for credit losses of $5,111 and $5,137, respectively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5,211</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7,782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7,556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investments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 for acquisition</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9,678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3,249</w:t>
            </w:r>
          </w:p>
        </w:tc>
        <w:tc>
          <w:tcPr>
            <w:tcW w:w="60" w:type="dxa"/>
            <w:tcBorders/>
            <w:shd w:fill="CCEEFF" w:val="cle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5,383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5" w:name="balance2"/>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 (CONTINUED)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06"/>
        <w:gridCol w:w="60"/>
        <w:gridCol w:w="157"/>
        <w:gridCol w:w="821"/>
        <w:gridCol w:w="80"/>
        <w:gridCol w:w="60"/>
        <w:gridCol w:w="167"/>
        <w:gridCol w:w="872"/>
        <w:gridCol w:w="82"/>
      </w:tblGrid>
      <w:tr>
        <w:trPr/>
        <w:tc>
          <w:tcPr>
            <w:tcW w:w="7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2" w:type="dxa"/>
            <w:tcBorders/>
            <w:vAlign w:val="center"/>
          </w:tcPr>
          <w:p>
            <w:pPr>
              <w:pStyle w:val="TableContents"/>
              <w:bidi w:val="0"/>
              <w:spacing w:before="0" w:after="283"/>
              <w:jc w:val="left"/>
              <w:rPr/>
            </w:pPr>
            <w:r>
              <w:rPr/>
              <w:t> </w:t>
            </w:r>
          </w:p>
        </w:tc>
      </w:tr>
      <w:tr>
        <w:trPr/>
        <w:tc>
          <w:tcPr>
            <w:tcW w:w="79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borrowing from a related party</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5,571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5,275</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sz w:val="4"/>
                <w:szCs w:val="4"/>
              </w:rPr>
            </w:pPr>
            <w:r>
              <w:rPr>
                <w:sz w:val="4"/>
                <w:szCs w:val="4"/>
              </w:rPr>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both"/>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ZW Data Action Technologies Inc.’s stockholders’ equity</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(US$0.001 par value; authorized 12,500,000 shares; issued and outstanding 3,668,429 shares and 3,268,429 shares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to be issued</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65,346</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reserves</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82" w:type="dxa"/>
            <w:tcBorders/>
            <w:shd w:fill="CCEEFF" w:val="cle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(65,221</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90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4,343</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4,403</w:t>
            </w:r>
          </w:p>
        </w:tc>
        <w:tc>
          <w:tcPr>
            <w:tcW w:w="82" w:type="dxa"/>
            <w:tcBorders/>
            <w:shd w:fill="FFFFFF" w:val="clear"/>
            <w:vAlign w:val="center"/>
          </w:tcPr>
          <w:p>
            <w:pPr>
              <w:pStyle w:val="TableContents"/>
              <w:bidi w:val="0"/>
              <w:spacing w:before="0" w:after="283"/>
              <w:jc w:val="left"/>
              <w:rPr/>
            </w:pPr>
            <w:r>
              <w:rPr/>
              <w:t> </w:t>
            </w:r>
          </w:p>
        </w:tc>
      </w:tr>
      <w:tr>
        <w:trPr/>
        <w:tc>
          <w:tcPr>
            <w:tcW w:w="7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90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9,750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9,678</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Liabilities recognized as a result of consolidating these VIEs do not represent additional claims on the Company’s general assets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6" w:name="ops_and_loss"/>
      <w:bookmarkEnd w:id="6"/>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79"/>
        <w:gridCol w:w="60"/>
        <w:gridCol w:w="205"/>
        <w:gridCol w:w="795"/>
        <w:gridCol w:w="121"/>
        <w:gridCol w:w="91"/>
        <w:gridCol w:w="202"/>
        <w:gridCol w:w="862"/>
        <w:gridCol w:w="80"/>
        <w:gridCol w:w="60"/>
        <w:gridCol w:w="269"/>
        <w:gridCol w:w="825"/>
        <w:gridCol w:w="158"/>
        <w:gridCol w:w="119"/>
        <w:gridCol w:w="269"/>
        <w:gridCol w:w="825"/>
        <w:gridCol w:w="85"/>
      </w:tblGrid>
      <w:tr>
        <w:trPr/>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1" w:type="dxa"/>
            <w:tcBorders>
              <w:bottom w:val="single" w:sz="2" w:space="0" w:color="000000"/>
            </w:tcBorders>
            <w:tcMar>
              <w:bottom w:w="28" w:type="dxa"/>
            </w:tcMar>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8" w:type="dxa"/>
            <w:tcBorders>
              <w:bottom w:val="single" w:sz="2" w:space="0" w:color="000000"/>
            </w:tcBorders>
            <w:tcMar>
              <w:bottom w:w="28" w:type="dxa"/>
            </w:tcMar>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0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58"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5" w:type="dxa"/>
            <w:tcBorders/>
            <w:vAlign w:val="center"/>
          </w:tcPr>
          <w:p>
            <w:pPr>
              <w:pStyle w:val="TableContents"/>
              <w:bidi w:val="0"/>
              <w:spacing w:before="0" w:after="283"/>
              <w:jc w:val="left"/>
              <w:rPr/>
            </w:pPr>
            <w:r>
              <w:rPr/>
              <w:t> </w:t>
            </w:r>
          </w:p>
        </w:tc>
      </w:tr>
      <w:tr>
        <w:trPr/>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0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8"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ind w:left="0" w:right="0" w:hanging="0"/>
              <w:jc w:val="left"/>
              <w:rPr/>
            </w:pPr>
            <w:r>
              <w:rPr/>
              <w:t> </w:t>
            </w:r>
          </w:p>
        </w:tc>
        <w:tc>
          <w:tcPr>
            <w:tcW w:w="109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5" w:type="dxa"/>
            <w:tcBorders/>
            <w:vAlign w:val="center"/>
          </w:tcPr>
          <w:p>
            <w:pPr>
              <w:pStyle w:val="TableContents"/>
              <w:bidi w:val="0"/>
              <w:spacing w:before="0" w:after="283"/>
              <w:jc w:val="left"/>
              <w:rPr/>
            </w:pPr>
            <w:r>
              <w:rPr/>
              <w:t> </w:t>
            </w:r>
          </w:p>
        </w:tc>
      </w:tr>
      <w:tr>
        <w:trPr/>
        <w:tc>
          <w:tcPr>
            <w:tcW w:w="5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85"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47</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both"/>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both"/>
              <w:rPr/>
            </w:pPr>
            <w:r>
              <w:rPr/>
              <w:t> </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both"/>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5"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12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6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(381</w:t>
            </w:r>
          </w:p>
        </w:tc>
        <w:tc>
          <w:tcPr>
            <w:tcW w:w="158"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2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(682</w:t>
            </w:r>
          </w:p>
        </w:tc>
        <w:tc>
          <w:tcPr>
            <w:tcW w:w="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1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795"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both"/>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both"/>
              <w:rPr/>
            </w:pPr>
            <w:r>
              <w:rPr/>
              <w:t> </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both"/>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2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58"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5" w:type="dxa"/>
            <w:tcBorders/>
            <w:shd w:fill="CCEEFF" w:val="cle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income/(expenses)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2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before income tax benefit/(expense) and noncontrolling interests</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7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12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6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15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2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1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benefit/(expenses)</w:t>
            </w:r>
          </w:p>
        </w:tc>
        <w:tc>
          <w:tcPr>
            <w:tcW w:w="60" w:type="dxa"/>
            <w:tcBorders/>
            <w:shd w:fill="FFFFFF" w:val="clear"/>
            <w:vAlign w:val="center"/>
          </w:tcPr>
          <w:p>
            <w:pPr>
              <w:pStyle w:val="TableContents"/>
              <w:bidi w:val="0"/>
              <w:spacing w:before="0" w:after="283"/>
              <w:jc w:val="left"/>
              <w:rPr/>
            </w:pPr>
            <w:r>
              <w:rPr/>
              <w:t> </w:t>
            </w:r>
          </w:p>
        </w:tc>
        <w:tc>
          <w:tcPr>
            <w:tcW w:w="2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12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1"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w:t>
            </w:r>
          </w:p>
        </w:tc>
        <w:tc>
          <w:tcPr>
            <w:tcW w:w="15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19"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7" w:name="ops_and_loss_2"/>
      <w:bookmarkEnd w:id="7"/>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AND COMPREHENSIVE LOSS </w:t>
      </w:r>
      <w:r>
        <w:rPr>
          <w:rFonts w:ascii="Times New Roman" w:hAnsi="Times New Roman"/>
          <w:caps w:val="false"/>
          <w:smallCaps w:val="false"/>
          <w:sz w:val="20"/>
        </w:rPr>
        <w:t>(</w:t>
      </w:r>
      <w:r>
        <w:rPr>
          <w:rFonts w:ascii="Times New Roman" w:hAnsi="Times New Roman"/>
          <w:b/>
          <w:caps w:val="false"/>
          <w:smallCaps w:val="false"/>
          <w:sz w:val="20"/>
        </w:rPr>
        <w:t>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6"/>
        <w:gridCol w:w="60"/>
        <w:gridCol w:w="135"/>
        <w:gridCol w:w="920"/>
        <w:gridCol w:w="86"/>
        <w:gridCol w:w="65"/>
        <w:gridCol w:w="135"/>
        <w:gridCol w:w="920"/>
        <w:gridCol w:w="80"/>
        <w:gridCol w:w="60"/>
        <w:gridCol w:w="147"/>
        <w:gridCol w:w="1001"/>
        <w:gridCol w:w="94"/>
        <w:gridCol w:w="70"/>
        <w:gridCol w:w="147"/>
        <w:gridCol w:w="1001"/>
        <w:gridCol w:w="88"/>
      </w:tblGrid>
      <w:tr>
        <w:trPr/>
        <w:tc>
          <w:tcPr>
            <w:tcW w:w="5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4"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8" w:type="dxa"/>
            <w:tcBorders/>
            <w:vAlign w:val="center"/>
          </w:tcPr>
          <w:p>
            <w:pPr>
              <w:pStyle w:val="TableContents"/>
              <w:bidi w:val="0"/>
              <w:spacing w:before="0" w:after="283"/>
              <w:jc w:val="left"/>
              <w:rPr/>
            </w:pPr>
            <w:r>
              <w:rPr/>
              <w:t> </w:t>
            </w:r>
          </w:p>
        </w:tc>
      </w:tr>
      <w:tr>
        <w:trPr/>
        <w:tc>
          <w:tcPr>
            <w:tcW w:w="5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8" w:type="dxa"/>
            <w:tcBorders/>
            <w:vAlign w:val="center"/>
          </w:tcPr>
          <w:p>
            <w:pPr>
              <w:pStyle w:val="TableContents"/>
              <w:bidi w:val="0"/>
              <w:spacing w:before="0" w:after="283"/>
              <w:jc w:val="left"/>
              <w:rPr/>
            </w:pPr>
            <w:r>
              <w:rPr/>
              <w:t> </w:t>
            </w:r>
          </w:p>
        </w:tc>
      </w:tr>
      <w:tr>
        <w:trPr/>
        <w:tc>
          <w:tcPr>
            <w:tcW w:w="5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51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5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income/(loss)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Comprehensive Loss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9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 loss attributable to ZW Data Action Technologies Inc.</w:t>
            </w:r>
          </w:p>
        </w:tc>
        <w:tc>
          <w:tcPr>
            <w:tcW w:w="60"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519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FFFF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r>
      <w:tr>
        <w:trPr/>
        <w:tc>
          <w:tcPr>
            <w:tcW w:w="519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519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3,423,125</w:t>
            </w:r>
          </w:p>
        </w:tc>
        <w:tc>
          <w:tcPr>
            <w:tcW w:w="8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2,342,790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3,576,121</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2,383,918</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firstLine="1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8" w:name="cash_flows"/>
      <w:bookmarkEnd w:id="8"/>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5990"/>
        <w:gridCol w:w="60"/>
        <w:gridCol w:w="242"/>
        <w:gridCol w:w="767"/>
        <w:gridCol w:w="138"/>
        <w:gridCol w:w="103"/>
        <w:gridCol w:w="216"/>
        <w:gridCol w:w="942"/>
        <w:gridCol w:w="80"/>
      </w:tblGrid>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38"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8"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8"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ind w:left="0" w:right="0" w:hanging="0"/>
              <w:jc w:val="left"/>
              <w:rPr/>
            </w:pPr>
            <w:r>
              <w:rPr/>
              <w:t> </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both"/>
              <w:rPr/>
            </w:pPr>
            <w:r>
              <w:rPr/>
              <w:t> </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(Reverse)/provision for allowances for credit losses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income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3"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(400</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3"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5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both"/>
              <w:rPr/>
            </w:pPr>
            <w:r>
              <w:rPr/>
              <w:t> </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vehicles and office equipment, leasehold improvement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8"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intellectual property</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8"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short-term loans and interest income from unrelated parties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9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9" w:name="cash_flows_2"/>
      <w:bookmarkEnd w:id="9"/>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 (CONTINUED)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7730" w:type="dxa"/>
        <w:jc w:val="left"/>
        <w:tblInd w:w="0" w:type="dxa"/>
        <w:tblLayout w:type="fixed"/>
        <w:tblCellMar>
          <w:top w:w="0" w:type="dxa"/>
          <w:left w:w="0" w:type="dxa"/>
          <w:bottom w:w="0" w:type="dxa"/>
          <w:right w:w="0" w:type="dxa"/>
        </w:tblCellMar>
      </w:tblPr>
      <w:tblGrid>
        <w:gridCol w:w="5225"/>
        <w:gridCol w:w="60"/>
        <w:gridCol w:w="242"/>
        <w:gridCol w:w="767"/>
        <w:gridCol w:w="144"/>
        <w:gridCol w:w="108"/>
        <w:gridCol w:w="226"/>
        <w:gridCol w:w="878"/>
        <w:gridCol w:w="8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4" w:type="dxa"/>
            <w:tcBorders>
              <w:bottom w:val="single" w:sz="2"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1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4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104" w:type="dxa"/>
            <w:gridSpan w:val="2"/>
            <w:tcBorders/>
            <w:vAlign w:val="center"/>
          </w:tcPr>
          <w:p>
            <w:pPr>
              <w:pStyle w:val="TableContents"/>
              <w:bidi w:val="0"/>
              <w:spacing w:before="0" w:after="0"/>
              <w:ind w:left="0" w:right="0" w:hanging="2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4"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0"/>
              <w:jc w:val="left"/>
              <w:rPr/>
            </w:pPr>
            <w:r>
              <w:rPr/>
              <w:t> </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both"/>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contribution from noncontrolling interest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investors</w:t>
            </w:r>
          </w:p>
        </w:tc>
        <w:tc>
          <w:tcPr>
            <w:tcW w:w="60" w:type="dxa"/>
            <w:tcBorders/>
            <w:shd w:fill="CCEEFF" w:val="clear"/>
            <w:vAlign w:val="center"/>
          </w:tcPr>
          <w:p>
            <w:pPr>
              <w:pStyle w:val="TableContents"/>
              <w:bidi w:val="0"/>
              <w:spacing w:before="0" w:after="283"/>
              <w:jc w:val="left"/>
              <w:rPr/>
            </w:pPr>
            <w:r>
              <w:rPr/>
              <w:t> </w:t>
            </w:r>
          </w:p>
        </w:tc>
        <w:tc>
          <w:tcPr>
            <w:tcW w:w="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fluctuation on cash and cash equivalents</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14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87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894</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the period</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w:t>
            </w:r>
          </w:p>
        </w:tc>
        <w:tc>
          <w:tcPr>
            <w:tcW w:w="14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611</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1,706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both"/>
              <w:rPr/>
            </w:pPr>
            <w:r>
              <w:rPr/>
              <w:t> </w:t>
            </w:r>
          </w:p>
        </w:tc>
        <w:tc>
          <w:tcPr>
            <w:tcW w:w="14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paid</w:t>
            </w:r>
          </w:p>
        </w:tc>
        <w:tc>
          <w:tcPr>
            <w:tcW w:w="60" w:type="dxa"/>
            <w:tcBorders/>
            <w:shd w:fill="CCEE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paid</w:t>
            </w:r>
          </w:p>
        </w:tc>
        <w:tc>
          <w:tcPr>
            <w:tcW w:w="60" w:type="dxa"/>
            <w:tcBorders/>
            <w:shd w:fill="FFFFFF" w:val="clear"/>
            <w:vAlign w:val="center"/>
          </w:tcPr>
          <w:p>
            <w:pPr>
              <w:pStyle w:val="TableContents"/>
              <w:bidi w:val="0"/>
              <w:spacing w:before="0" w:after="283"/>
              <w:ind w:left="0" w:right="0" w:hanging="0"/>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0" w:name="equity"/>
      <w:bookmarkEnd w:id="10"/>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AND THREE MONTHS ENDED JUNE 30,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1375" w:type="dxa"/>
        <w:jc w:val="left"/>
        <w:tblInd w:w="0" w:type="dxa"/>
        <w:tblLayout w:type="fixed"/>
        <w:tblCellMar>
          <w:top w:w="0" w:type="dxa"/>
          <w:left w:w="0" w:type="dxa"/>
          <w:bottom w:w="0" w:type="dxa"/>
          <w:right w:w="0" w:type="dxa"/>
        </w:tblCellMar>
      </w:tblPr>
      <w:tblGrid>
        <w:gridCol w:w="1160"/>
        <w:gridCol w:w="60"/>
        <w:gridCol w:w="60"/>
        <w:gridCol w:w="845"/>
        <w:gridCol w:w="60"/>
        <w:gridCol w:w="60"/>
        <w:gridCol w:w="347"/>
        <w:gridCol w:w="348"/>
        <w:gridCol w:w="60"/>
        <w:gridCol w:w="60"/>
        <w:gridCol w:w="217"/>
        <w:gridCol w:w="583"/>
        <w:gridCol w:w="60"/>
        <w:gridCol w:w="60"/>
        <w:gridCol w:w="160"/>
        <w:gridCol w:w="760"/>
        <w:gridCol w:w="60"/>
        <w:gridCol w:w="60"/>
        <w:gridCol w:w="167"/>
        <w:gridCol w:w="648"/>
        <w:gridCol w:w="60"/>
        <w:gridCol w:w="60"/>
        <w:gridCol w:w="182"/>
        <w:gridCol w:w="948"/>
        <w:gridCol w:w="80"/>
        <w:gridCol w:w="60"/>
        <w:gridCol w:w="265"/>
        <w:gridCol w:w="1030"/>
        <w:gridCol w:w="80"/>
        <w:gridCol w:w="60"/>
        <w:gridCol w:w="482"/>
        <w:gridCol w:w="888"/>
        <w:gridCol w:w="60"/>
        <w:gridCol w:w="60"/>
        <w:gridCol w:w="234"/>
        <w:gridCol w:w="911"/>
        <w:gridCol w:w="80"/>
      </w:tblGrid>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 to be issued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3,268,429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4,403</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2026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3,268,429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65,346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(65,095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4,373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in exchange for services from employees, directors and consultants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rFonts w:eastAsia="Times New Roman;Times;serif"/>
                <w:caps w:val="false"/>
                <w:smallCaps w:val="false"/>
                <w:sz w:val="20"/>
              </w:rPr>
              <w:t>（</w:t>
            </w:r>
            <w:r>
              <w:rPr>
                <w:rFonts w:ascii="Times New Roman;Times;serif" w:hAnsi="Times New Roman;Times;serif"/>
                <w:caps w:val="false"/>
                <w:smallCaps w:val="false"/>
                <w:sz w:val="20"/>
              </w:rPr>
              <w:t>150)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2026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3,668,429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65,651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(65,445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889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4,179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1" w:name="equity2"/>
      <w:bookmarkEnd w:id="11"/>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CHANGES IN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AND THREE MONTHS ENDED JUNE 30,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15" w:type="dxa"/>
        <w:jc w:val="left"/>
        <w:tblInd w:w="0" w:type="dxa"/>
        <w:tblLayout w:type="fixed"/>
        <w:tblCellMar>
          <w:top w:w="0" w:type="dxa"/>
          <w:left w:w="0" w:type="dxa"/>
          <w:bottom w:w="0" w:type="dxa"/>
          <w:right w:w="0" w:type="dxa"/>
        </w:tblCellMar>
      </w:tblPr>
      <w:tblGrid>
        <w:gridCol w:w="920"/>
        <w:gridCol w:w="60"/>
        <w:gridCol w:w="60"/>
        <w:gridCol w:w="845"/>
        <w:gridCol w:w="60"/>
        <w:gridCol w:w="60"/>
        <w:gridCol w:w="347"/>
        <w:gridCol w:w="348"/>
        <w:gridCol w:w="60"/>
        <w:gridCol w:w="60"/>
        <w:gridCol w:w="160"/>
        <w:gridCol w:w="760"/>
        <w:gridCol w:w="60"/>
        <w:gridCol w:w="60"/>
        <w:gridCol w:w="167"/>
        <w:gridCol w:w="648"/>
        <w:gridCol w:w="60"/>
        <w:gridCol w:w="60"/>
        <w:gridCol w:w="182"/>
        <w:gridCol w:w="948"/>
        <w:gridCol w:w="80"/>
        <w:gridCol w:w="60"/>
        <w:gridCol w:w="265"/>
        <w:gridCol w:w="1030"/>
        <w:gridCol w:w="80"/>
        <w:gridCol w:w="60"/>
        <w:gridCol w:w="482"/>
        <w:gridCol w:w="888"/>
        <w:gridCol w:w="60"/>
        <w:gridCol w:w="60"/>
        <w:gridCol w:w="234"/>
        <w:gridCol w:w="911"/>
        <w:gridCol w:w="80"/>
      </w:tblGrid>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 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Statutory reserves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other comprehensive income/(loss)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Non-controlling Interest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stockholders’ 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3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6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03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2"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2,301,205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3,718</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March 31,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2,301,205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(63,982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common stock for private placement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94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2" w:type="dxa"/>
            <w:tcBorders/>
            <w:shd w:fill="CCEEFF" w:val="clear"/>
            <w:vAlign w:val="center"/>
          </w:tcPr>
          <w:p>
            <w:pPr>
              <w:pStyle w:val="TableContents"/>
              <w:bidi w:val="0"/>
              <w:spacing w:before="0" w:after="283"/>
              <w:ind w:left="0" w:right="0" w:hanging="0"/>
              <w:jc w:val="left"/>
              <w:rPr/>
            </w:pPr>
            <w:r>
              <w:rPr/>
              <w:t> </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CCEEFF" w:val="cle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3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9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rFonts w:eastAsia="Times New Roman;Times;serif"/>
                <w:caps w:val="false"/>
                <w:smallCaps w:val="false"/>
                <w:sz w:val="20"/>
              </w:rPr>
              <w:t>（</w:t>
            </w:r>
            <w:r>
              <w:rPr>
                <w:rFonts w:ascii="Times New Roman;Times;serif" w:hAnsi="Times New Roman;Times;serif"/>
                <w:caps w:val="false"/>
                <w:smallCaps w:val="false"/>
                <w:sz w:val="20"/>
              </w:rPr>
              <w:t>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92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June 30, 2025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2,659,629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64,176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2,598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(64,619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3,573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2" w:name="notesatart"/>
      <w:bookmarkEnd w:id="12"/>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33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Organization and nature of operations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008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0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ZW Data Action Technologies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other subsidiaries outside of mainland China,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engages in intellectual property (“IP”) licensing services and also artificial intelligence (“AI”) consulting services. As part of an ongoing strategic shift, the Company’s operations are now primarily conducted outside mainland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60"/>
        <w:gridCol w:w="170"/>
        <w:gridCol w:w="2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w:t>
            </w:r>
          </w:p>
        </w:tc>
        <w:tc>
          <w:tcPr>
            <w:tcW w:w="21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Variable interest entities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an operating company in China, but a Nevada holding company with no equity ownership in the VIEs. The Company primarily conducts its operations in China through its Hong Kong subsidiaries, mainland China subsidiaries, the VIEs, with which the Company has entered into contractual arrangements, and their subsidiaries in China. Summarized below is the information related to the VIEs’ assets and liabilities reported in the Company’s condensed consolidated balance sheets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tbl>
      <w:tblPr>
        <w:tblW w:w="5458" w:type="dxa"/>
        <w:jc w:val="left"/>
        <w:tblInd w:w="0" w:type="dxa"/>
        <w:tblLayout w:type="fixed"/>
        <w:tblCellMar>
          <w:top w:w="0" w:type="dxa"/>
          <w:left w:w="0" w:type="dxa"/>
          <w:bottom w:w="0" w:type="dxa"/>
          <w:right w:w="0" w:type="dxa"/>
        </w:tblCellMar>
      </w:tblPr>
      <w:tblGrid>
        <w:gridCol w:w="2975"/>
        <w:gridCol w:w="60"/>
        <w:gridCol w:w="206"/>
        <w:gridCol w:w="803"/>
        <w:gridCol w:w="60"/>
        <w:gridCol w:w="60"/>
        <w:gridCol w:w="249"/>
        <w:gridCol w:w="970"/>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 and deposit to suppliers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1,088</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from customers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other accruals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payable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3,784</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3,878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3,784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Liabilities recognized as a result of consolidating these VIEs do not represent additional claims on the Company’s general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Summarized below is the information related to the financial performance of the VIEs reported in the Company’s condensed consolidated statements of operations and comprehensive loss for the six and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8034" w:type="dxa"/>
        <w:jc w:val="left"/>
        <w:tblInd w:w="0" w:type="dxa"/>
        <w:tblLayout w:type="fixed"/>
        <w:tblCellMar>
          <w:top w:w="0" w:type="dxa"/>
          <w:left w:w="0" w:type="dxa"/>
          <w:bottom w:w="0" w:type="dxa"/>
          <w:right w:w="0" w:type="dxa"/>
        </w:tblCellMar>
      </w:tblPr>
      <w:tblGrid>
        <w:gridCol w:w="2855"/>
        <w:gridCol w:w="60"/>
        <w:gridCol w:w="288"/>
        <w:gridCol w:w="774"/>
        <w:gridCol w:w="138"/>
        <w:gridCol w:w="138"/>
        <w:gridCol w:w="303"/>
        <w:gridCol w:w="706"/>
        <w:gridCol w:w="80"/>
        <w:gridCol w:w="60"/>
        <w:gridCol w:w="356"/>
        <w:gridCol w:w="656"/>
        <w:gridCol w:w="171"/>
        <w:gridCol w:w="171"/>
        <w:gridCol w:w="356"/>
        <w:gridCol w:w="827"/>
        <w:gridCol w:w="95"/>
      </w:tblGrid>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1" w:type="dxa"/>
            <w:tcBorders>
              <w:bottom w:val="single" w:sz="2" w:space="0" w:color="000000"/>
            </w:tcBorders>
            <w:tcMar>
              <w:bottom w:w="28" w:type="dxa"/>
            </w:tcMar>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ind w:left="0" w:right="0" w:hanging="0"/>
              <w:jc w:val="left"/>
              <w:rPr/>
            </w:pPr>
            <w:r>
              <w:rPr/>
              <w:t>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774"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3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3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income/(expenses)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7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13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ind w:left="0" w:right="0" w:hanging="0"/>
              <w:jc w:val="left"/>
              <w:rPr/>
            </w:pPr>
            <w:r>
              <w:rPr/>
              <w:t> </w:t>
            </w:r>
          </w:p>
        </w:tc>
        <w:tc>
          <w:tcPr>
            <w:tcW w:w="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profit/(loss)</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7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138"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60"/>
        <w:gridCol w:w="170"/>
        <w:gridCol w:w="2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operating losses and may continue to incur operating losses, and as a result, to generate negative operating cash flows as the Company implements its future business plan. For the six months ended June 30, 2026, the Company incurred a loss from operations of US$0.3 million and a net operating cash outflow of US$0.40 million. As of June 30, 2026, the Company had cash and cash equivalents of US$0.61 million and working capital of US$2.40 million, compared with approximately US$0.97 million and US$2.48 million as of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Our current core business is to provide advertising and marketing services to small and medium enterprises (“SMEs”), which is particularly sensitive to changes in general economic conditions. In addition, in order to further develop our core business, i.e., our Internet advertising and related data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Group and its intellectual property has enabled us to establish our IP services business segment. We generate revenue by licensing the intellectual property acquired through Rahula Group to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September 17, 2025, CNET Technology Limited (“CNET Technology”), a wholly-owned subsidiary of ZW Data Action Technologies Inc. (the “Company”) in the British Virgin Islands, entered into a purchase agreement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obtained the Titans Equity Interests on October 21, 2025; however, as of the date of this report, the Company has not yet issued the 200,000 shares of common stock to the Sellers and the closing of the transaction has not yet taken place. Titans is principally engaged in providing digital marketing and advertising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October 28, 2025, CNET Technology, a wholly-owned subsidiary of the Company in the British Virgin Islands, entered into a purchase agreement (the “Acquisition Agreement”) with Fun Star Group INC., a British Virgin Islands company (“Fun Star”) and Modest Attack Limited, a British Virgin Islands company (“Modest”), pursuant to which Fun Star will sell its 9.9% equity interests in Modest (the “ Modest Equity Interests”) to CNET Technology. In consideration for the Modest Equity Interests, CNET Technology shall pay to Fun Star $625,000 in cash and cause the Company to issue 150,000 shares of common stock of the Company, having a total value of $375,000 and valued at $2.50 per share, to Fun Star. The closing of the acquisition is subject to customary terms and conditions as set forth in the Acquisition Agreement. Modest is principally engaged in providing development services related to AI services that enable businesses to generate production-ready code from natural language and design and manage autonomous AI agents with integrated tools, workflows and decision-making capabilities. In addition, Modest is also engaged in providing development services for the tokenization of real-world assets, including token economics design, blockchain platform development, ecosystem infrastructure support, and digital asset monitoring and management.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June 26, 2026, CNET Technology entered into a purchase agreement with Affirm Mission Limited (“Affirm”), a British Virgin Islands company and Margo Asia Limited, a British Virgin Islands company (“Margo”), pursuant to which Affirm will sell its 8.0% equity interests in Margo (the “Margo Equity Interests”) to CNET Technology. In consideration for the Margo Equity Interests, the Purchaser shall pay to the Seller $384,000 in cash and cause the Company to issue 180,000 shares of common stock of the Company, having a total value of $216,000 and valued at $1.20 per share, to the Seller. Margo and its subsidiary are primarily engaged in the provision of project management services for renewable energy projects in Asia.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financial statements as of June 30, 2026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June 30, 2026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36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60"/>
        <w:gridCol w:w="185"/>
        <w:gridCol w:w="182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w:t>
            </w:r>
          </w:p>
        </w:tc>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are prepared and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information as of June 30, 2026 and for the six and three months ended June 30, 2026 and 2025 have been prepared pursuant to the rules and regulations of the U.S. Securities and Exchange Commission (the “SEC”). Certain information and footnote disclosures, which are normally included in complete consolidated financial statements prepared in accordance with U.S. GAAP, have been omitted pursuant to those rules and regulations. The unaudited condensed consolidated interim financial information should be read in conjunction with the financial statements and the notes thereto, included in the Company’s Annual Report on Form 10-K for the fiscal year ended December 31, 2025, previously filed with the SEC (the “2025 Form 10-K”)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the Company’s condensed consolidated financial position as of June 30, 2026, its condensed consolidated results of operations for the six and three months ended June 30, 2026 and 2025, and its condensed consolidated cash flows for the six months ended June 30, 2026 and 2025, as applicable, have been made. The interim results of operations are not necessarily indicative of the operating results for the full fiscal year or any future periods.</w:t>
      </w:r>
    </w:p>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60"/>
        <w:gridCol w:w="185"/>
        <w:gridCol w:w="231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Principles of consolidation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unaudited condensed consolidated interim financial statements include the accounts of all the subsidiaries and VIEs of the Company. All transactions and balances between the Company and its subsidiaries and VIEs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60"/>
        <w:gridCol w:w="170"/>
        <w:gridCol w:w="1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w:t>
            </w:r>
          </w:p>
        </w:tc>
        <w:tc>
          <w:tcPr>
            <w:tcW w:w="13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Use of estimates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185"/>
        <w:gridCol w:w="248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w:t>
            </w:r>
          </w:p>
        </w:tc>
        <w:tc>
          <w:tcPr>
            <w:tcW w:w="248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translation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exchange rates used to translate amounts in RMB into US$ for the purposes of preparing the condensed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tbl>
      <w:tblPr>
        <w:tblW w:w="8053" w:type="dxa"/>
        <w:jc w:val="left"/>
        <w:tblInd w:w="0" w:type="dxa"/>
        <w:tblLayout w:type="fixed"/>
        <w:tblCellMar>
          <w:top w:w="0" w:type="dxa"/>
          <w:left w:w="0" w:type="dxa"/>
          <w:bottom w:w="0" w:type="dxa"/>
          <w:right w:w="0" w:type="dxa"/>
        </w:tblCellMar>
      </w:tblPr>
      <w:tblGrid>
        <w:gridCol w:w="4970"/>
        <w:gridCol w:w="60"/>
        <w:gridCol w:w="109"/>
        <w:gridCol w:w="1080"/>
        <w:gridCol w:w="60"/>
        <w:gridCol w:w="60"/>
        <w:gridCol w:w="151"/>
        <w:gridCol w:w="1488"/>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sheet items, except for equity accounts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90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90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7.0288</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7.1839</w:t>
            </w:r>
          </w:p>
        </w:tc>
        <w:tc>
          <w:tcPr>
            <w:tcW w:w="75" w:type="dxa"/>
            <w:tcBorders/>
            <w:shd w:fill="CCEEFF" w:val="cle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4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90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1800" w:right="0" w:hanging="90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Items in the statements of operations and comprehensive loss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4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No representation is made that the RMB amounts could have been, or could be converted into US$ at the above rates.</w:t>
      </w:r>
    </w:p>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w:t>
            </w:r>
          </w:p>
        </w:tc>
        <w:tc>
          <w:tcPr>
            <w:tcW w:w="25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expected credit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pStyle w:val="TextBody"/>
        <w:bidi w:val="0"/>
        <w:spacing w:before="0" w:after="0"/>
        <w:ind w:left="18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movements of the Company’s credit losses for the six and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9458" w:type="dxa"/>
        <w:jc w:val="left"/>
        <w:tblInd w:w="0" w:type="dxa"/>
        <w:tblLayout w:type="fixed"/>
        <w:tblCellMar>
          <w:top w:w="0" w:type="dxa"/>
          <w:left w:w="0" w:type="dxa"/>
          <w:bottom w:w="0" w:type="dxa"/>
          <w:right w:w="0" w:type="dxa"/>
        </w:tblCellMar>
      </w:tblPr>
      <w:tblGrid>
        <w:gridCol w:w="4370"/>
        <w:gridCol w:w="60"/>
        <w:gridCol w:w="112"/>
        <w:gridCol w:w="906"/>
        <w:gridCol w:w="149"/>
        <w:gridCol w:w="112"/>
        <w:gridCol w:w="112"/>
        <w:gridCol w:w="906"/>
        <w:gridCol w:w="60"/>
        <w:gridCol w:w="60"/>
        <w:gridCol w:w="125"/>
        <w:gridCol w:w="1018"/>
        <w:gridCol w:w="125"/>
        <w:gridCol w:w="125"/>
        <w:gridCol w:w="125"/>
        <w:gridCol w:w="1018"/>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accounts receivable: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5,036</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4,834</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4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off during the period</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4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9458" w:type="dxa"/>
        <w:jc w:val="left"/>
        <w:tblInd w:w="0" w:type="dxa"/>
        <w:tblLayout w:type="fixed"/>
        <w:tblCellMar>
          <w:top w:w="0" w:type="dxa"/>
          <w:left w:w="0" w:type="dxa"/>
          <w:bottom w:w="0" w:type="dxa"/>
          <w:right w:w="0" w:type="dxa"/>
        </w:tblCellMar>
      </w:tblPr>
      <w:tblGrid>
        <w:gridCol w:w="4370"/>
        <w:gridCol w:w="60"/>
        <w:gridCol w:w="112"/>
        <w:gridCol w:w="906"/>
        <w:gridCol w:w="149"/>
        <w:gridCol w:w="112"/>
        <w:gridCol w:w="112"/>
        <w:gridCol w:w="906"/>
        <w:gridCol w:w="60"/>
        <w:gridCol w:w="60"/>
        <w:gridCol w:w="125"/>
        <w:gridCol w:w="1018"/>
        <w:gridCol w:w="125"/>
        <w:gridCol w:w="125"/>
        <w:gridCol w:w="125"/>
        <w:gridCol w:w="1018"/>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9" w:type="dxa"/>
            <w:tcBorders>
              <w:bottom w:val="single" w:sz="2"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5" w:type="dxa"/>
            <w:tcBorders>
              <w:bottom w:val="single" w:sz="2" w:space="0" w:color="000000"/>
            </w:tcBorders>
            <w:tcMar>
              <w:bottom w:w="28" w:type="dxa"/>
            </w:tcMar>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9"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ind w:left="0" w:right="0" w:hanging="0"/>
              <w:jc w:val="left"/>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ind w:left="0" w:right="0" w:hanging="0"/>
              <w:jc w:val="left"/>
              <w:rPr/>
            </w:pPr>
            <w:r>
              <w:rPr/>
              <w:t> </w:t>
            </w:r>
          </w:p>
        </w:tc>
        <w:tc>
          <w:tcPr>
            <w:tcW w:w="11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Credit loss for other current assets: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beginning of the period</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149"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1,983</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w:t>
            </w:r>
          </w:p>
        </w:tc>
        <w:tc>
          <w:tcPr>
            <w:tcW w:w="7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for/(reverse of) credit loss during the period</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49"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5"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4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end of the period</w:t>
            </w:r>
          </w:p>
        </w:tc>
        <w:tc>
          <w:tcPr>
            <w:tcW w:w="60"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40"/>
        <w:gridCol w:w="1760"/>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w:t>
            </w:r>
          </w:p>
        </w:tc>
        <w:tc>
          <w:tcPr>
            <w:tcW w:w="17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 the Company’s revenues disaggregated by products and services and timing of revenue recognition: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5"/>
        <w:gridCol w:w="60"/>
        <w:gridCol w:w="214"/>
        <w:gridCol w:w="829"/>
        <w:gridCol w:w="100"/>
        <w:gridCol w:w="100"/>
        <w:gridCol w:w="214"/>
        <w:gridCol w:w="829"/>
        <w:gridCol w:w="60"/>
        <w:gridCol w:w="60"/>
        <w:gridCol w:w="305"/>
        <w:gridCol w:w="813"/>
        <w:gridCol w:w="143"/>
        <w:gridCol w:w="143"/>
        <w:gridCol w:w="305"/>
        <w:gridCol w:w="813"/>
        <w:gridCol w:w="82"/>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0" w:type="dxa"/>
            <w:tcBorders>
              <w:bottom w:val="single" w:sz="2"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3" w:type="dxa"/>
            <w:tcBorders>
              <w:bottom w:val="single" w:sz="2" w:space="0" w:color="000000"/>
            </w:tcBorders>
            <w:tcMar>
              <w:bottom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2"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ind w:left="0" w:right="0" w:hanging="0"/>
              <w:jc w:val="left"/>
              <w:rPr/>
            </w:pPr>
            <w:r>
              <w:rPr/>
              <w:t> </w:t>
            </w:r>
          </w:p>
        </w:tc>
        <w:tc>
          <w:tcPr>
            <w:tcW w:w="104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ind w:left="0" w:right="0" w:hanging="0"/>
              <w:jc w:val="left"/>
              <w:rPr/>
            </w:pPr>
            <w:r>
              <w:rPr/>
              <w:t> </w:t>
            </w:r>
          </w:p>
        </w:tc>
        <w:tc>
          <w:tcPr>
            <w:tcW w:w="111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2" w:type="dxa"/>
            <w:tcBorders/>
            <w:vAlign w:val="center"/>
          </w:tcPr>
          <w:p>
            <w:pPr>
              <w:pStyle w:val="TableContents"/>
              <w:bidi w:val="0"/>
              <w:spacing w:before="0" w:after="283"/>
              <w:jc w:val="left"/>
              <w:rPr/>
            </w:pPr>
            <w:r>
              <w:rPr/>
              <w:t> </w:t>
            </w:r>
          </w:p>
        </w:tc>
      </w:tr>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8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Internet advertising and related data service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2"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1,035</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652</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214" w:type="dxa"/>
        <w:jc w:val="left"/>
        <w:tblInd w:w="0" w:type="dxa"/>
        <w:tblLayout w:type="fixed"/>
        <w:tblCellMar>
          <w:top w:w="0" w:type="dxa"/>
          <w:left w:w="0" w:type="dxa"/>
          <w:bottom w:w="0" w:type="dxa"/>
          <w:right w:w="0" w:type="dxa"/>
        </w:tblCellMar>
      </w:tblPr>
      <w:tblGrid>
        <w:gridCol w:w="3125"/>
        <w:gridCol w:w="60"/>
        <w:gridCol w:w="214"/>
        <w:gridCol w:w="832"/>
        <w:gridCol w:w="102"/>
        <w:gridCol w:w="102"/>
        <w:gridCol w:w="214"/>
        <w:gridCol w:w="832"/>
        <w:gridCol w:w="60"/>
        <w:gridCol w:w="60"/>
        <w:gridCol w:w="305"/>
        <w:gridCol w:w="818"/>
        <w:gridCol w:w="146"/>
        <w:gridCol w:w="146"/>
        <w:gridCol w:w="305"/>
        <w:gridCol w:w="818"/>
        <w:gridCol w:w="75"/>
      </w:tblGrid>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over time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75" w:type="dxa"/>
            <w:tcBorders/>
            <w:shd w:fill="CCEEFF" w:val="clear"/>
            <w:vAlign w:val="center"/>
          </w:tcPr>
          <w:p>
            <w:pPr>
              <w:pStyle w:val="TableContents"/>
              <w:bidi w:val="0"/>
              <w:spacing w:before="0" w:after="283"/>
              <w:jc w:val="left"/>
              <w:rPr/>
            </w:pPr>
            <w:r>
              <w:rPr/>
              <w:t> </w:t>
            </w:r>
          </w:p>
        </w:tc>
      </w:tr>
      <w:tr>
        <w:trPr/>
        <w:tc>
          <w:tcPr>
            <w:tcW w:w="31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 at a point in time</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652</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and 2025, there were no revenue recognized from performance obligations that were satisfied in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185"/>
        <w:gridCol w:w="2900"/>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w:t>
            </w:r>
          </w:p>
        </w:tc>
        <w:tc>
          <w:tcPr>
            <w:tcW w:w="29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 acquisition of Rahula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 is not recognized in an asset acquisition. Direct transaction costs include those third-party costs that can be directly attributable to the asset acquisition and would not have been incurred absent the acquisition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Acquisition of Rahula Digital Media (HK)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this transaction represented an asset acquisition as substantially all of the value was in the intellectual property intangible assets of Rahula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20" w:right="0" w:hanging="0"/>
        <w:jc w:val="left"/>
        <w:rPr>
          <w:rFonts w:ascii="Times New Roman" w:hAnsi="Times New Roman"/>
          <w:caps w:val="false"/>
          <w:smallCaps w:val="false"/>
          <w:sz w:val="20"/>
        </w:rPr>
      </w:pPr>
      <w:r>
        <w:rPr>
          <w:rFonts w:ascii="Times New Roman" w:hAnsi="Times New Roman"/>
          <w:caps w:val="false"/>
          <w:smallCaps w:val="false"/>
          <w:sz w:val="20"/>
        </w:rPr>
        <w:t>On March 7, 2025, upon the Purchaser’s acquisition of the outstanding common stock of Rahula, the Rahula intangible asset balance recorded on the acquisition date and included in intangible assets was as follows:</w:t>
      </w:r>
    </w:p>
    <w:p>
      <w:pPr>
        <w:pStyle w:val="TextBody"/>
        <w:bidi w:val="0"/>
        <w:spacing w:before="0" w:after="0"/>
        <w:ind w:left="420" w:right="0" w:hanging="0"/>
        <w:jc w:val="left"/>
        <w:rPr>
          <w:caps w:val="false"/>
          <w:smallCaps w:val="false"/>
        </w:rPr>
      </w:pPr>
      <w:r>
        <w:rPr>
          <w:caps w:val="false"/>
          <w:smallCaps w:val="false"/>
        </w:rPr>
        <w:t> </w:t>
      </w:r>
    </w:p>
    <w:tbl>
      <w:tblPr>
        <w:tblW w:w="6974" w:type="dxa"/>
        <w:jc w:val="left"/>
        <w:tblInd w:w="0" w:type="dxa"/>
        <w:tblLayout w:type="fixed"/>
        <w:tblCellMar>
          <w:top w:w="0" w:type="dxa"/>
          <w:left w:w="0" w:type="dxa"/>
          <w:bottom w:w="0" w:type="dxa"/>
          <w:right w:w="0" w:type="dxa"/>
        </w:tblCellMar>
      </w:tblPr>
      <w:tblGrid>
        <w:gridCol w:w="5105"/>
        <w:gridCol w:w="60"/>
        <w:gridCol w:w="223"/>
        <w:gridCol w:w="1491"/>
        <w:gridCol w:w="9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March 7, 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Rahula Group intangible asset recorded on acquisition date:</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4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 acquired (a)</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95" w:type="dxa"/>
            <w:tcBorders/>
            <w:shd w:fill="FFFFFF" w:val="clear"/>
            <w:vAlign w:val="center"/>
          </w:tcPr>
          <w:p>
            <w:pPr>
              <w:pStyle w:val="TableContents"/>
              <w:bidi w:val="0"/>
              <w:spacing w:before="0" w:after="283"/>
              <w:jc w:val="left"/>
              <w:rPr/>
            </w:pPr>
            <w:r>
              <w:rPr/>
              <w:t> </w:t>
            </w:r>
          </w:p>
        </w:tc>
      </w:tr>
      <w:tr>
        <w:trPr/>
        <w:tc>
          <w:tcPr>
            <w:tcW w:w="51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 generated from the Rahula asset</w:t>
            </w:r>
          </w:p>
        </w:tc>
        <w:tc>
          <w:tcPr>
            <w:tcW w:w="60" w:type="dxa"/>
            <w:tcBorders/>
            <w:shd w:fill="CCEEFF" w:val="cle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paid</w:t>
            </w:r>
          </w:p>
        </w:tc>
        <w:tc>
          <w:tcPr>
            <w:tcW w:w="60"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600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1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intangible asset balance will be amortized over the remaining useful life of 3 years as of the March 7, 2025 acquisition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60"/>
        <w:gridCol w:w="185"/>
        <w:gridCol w:w="515"/>
      </w:tblGrid>
      <w:tr>
        <w:trPr/>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w:t>
            </w:r>
          </w:p>
        </w:tc>
        <w:tc>
          <w:tcPr>
            <w:tcW w:w="5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operating lease right-of-use assets and total operating lease liabilities recognized was approximately US$0.02 million and US$0.03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Maturity of operating lease liabilities</w:t>
      </w:r>
    </w:p>
    <w:p>
      <w:pPr>
        <w:pStyle w:val="TextBody"/>
        <w:bidi w:val="0"/>
        <w:spacing w:before="0" w:after="0"/>
        <w:ind w:left="0" w:right="0" w:hanging="0"/>
        <w:jc w:val="left"/>
        <w:rPr>
          <w:caps w:val="false"/>
          <w:smallCaps w:val="false"/>
        </w:rPr>
      </w:pPr>
      <w:r>
        <w:rPr>
          <w:caps w:val="false"/>
          <w:smallCaps w:val="false"/>
        </w:rPr>
        <w:t> </w:t>
      </w:r>
    </w:p>
    <w:tbl>
      <w:tblPr>
        <w:tblW w:w="5739" w:type="dxa"/>
        <w:jc w:val="left"/>
        <w:tblInd w:w="0" w:type="dxa"/>
        <w:tblLayout w:type="fixed"/>
        <w:tblCellMar>
          <w:top w:w="0" w:type="dxa"/>
          <w:left w:w="0" w:type="dxa"/>
          <w:bottom w:w="0" w:type="dxa"/>
          <w:right w:w="0" w:type="dxa"/>
        </w:tblCellMar>
      </w:tblPr>
      <w:tblGrid>
        <w:gridCol w:w="4175"/>
        <w:gridCol w:w="60"/>
        <w:gridCol w:w="295"/>
        <w:gridCol w:w="1134"/>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ending December 31, 2026</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hanging="0"/>
              <w:jc w:val="left"/>
              <w:rPr/>
            </w:pPr>
            <w:r>
              <w:rPr/>
              <w:t> </w:t>
            </w:r>
          </w:p>
        </w:tc>
        <w:tc>
          <w:tcPr>
            <w:tcW w:w="11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7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2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 as of June 30, 2026</w:t>
            </w:r>
          </w:p>
        </w:tc>
        <w:tc>
          <w:tcPr>
            <w:tcW w:w="6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Including:</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ind w:left="0" w:right="0" w:hanging="0"/>
              <w:jc w:val="left"/>
              <w:rPr/>
            </w:pPr>
            <w:r>
              <w:rPr/>
              <w:t> </w:t>
            </w:r>
          </w:p>
        </w:tc>
        <w:tc>
          <w:tcPr>
            <w:tcW w:w="11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liabilities-Non current</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Operating lease expenses:</w:t>
      </w:r>
    </w:p>
    <w:p>
      <w:pPr>
        <w:pStyle w:val="TextBody"/>
        <w:bidi w:val="0"/>
        <w:spacing w:before="0" w:after="0"/>
        <w:ind w:left="0" w:right="0" w:hanging="0"/>
        <w:jc w:val="left"/>
        <w:rPr>
          <w:caps w:val="false"/>
          <w:smallCaps w:val="false"/>
        </w:rPr>
      </w:pPr>
      <w:r>
        <w:rPr>
          <w:caps w:val="false"/>
          <w:smallCaps w:val="false"/>
        </w:rPr>
        <w:t> </w:t>
      </w:r>
    </w:p>
    <w:tbl>
      <w:tblPr>
        <w:tblW w:w="8086" w:type="dxa"/>
        <w:jc w:val="left"/>
        <w:tblInd w:w="0" w:type="dxa"/>
        <w:tblLayout w:type="fixed"/>
        <w:tblCellMar>
          <w:top w:w="0" w:type="dxa"/>
          <w:left w:w="0" w:type="dxa"/>
          <w:bottom w:w="0" w:type="dxa"/>
          <w:right w:w="0" w:type="dxa"/>
        </w:tblCellMar>
      </w:tblPr>
      <w:tblGrid>
        <w:gridCol w:w="2945"/>
        <w:gridCol w:w="60"/>
        <w:gridCol w:w="355"/>
        <w:gridCol w:w="654"/>
        <w:gridCol w:w="166"/>
        <w:gridCol w:w="166"/>
        <w:gridCol w:w="355"/>
        <w:gridCol w:w="654"/>
        <w:gridCol w:w="60"/>
        <w:gridCol w:w="60"/>
        <w:gridCol w:w="382"/>
        <w:gridCol w:w="703"/>
        <w:gridCol w:w="183"/>
        <w:gridCol w:w="183"/>
        <w:gridCol w:w="382"/>
        <w:gridCol w:w="703"/>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6" w:type="dxa"/>
            <w:tcBorders>
              <w:bottom w:val="single" w:sz="2" w:space="0" w:color="000000"/>
            </w:tcBorders>
            <w:tcMar>
              <w:bottom w:w="28"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3" w:type="dxa"/>
            <w:tcBorders>
              <w:bottom w:val="single" w:sz="2" w:space="0" w:color="000000"/>
            </w:tcBorders>
            <w:tcMar>
              <w:bottom w:w="28" w:type="dxa"/>
            </w:tcMar>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355" w:type="dxa"/>
            <w:tcBorders/>
            <w:vAlign w:val="center"/>
          </w:tcPr>
          <w:p>
            <w:pPr>
              <w:pStyle w:val="TableContents"/>
              <w:bidi w:val="0"/>
              <w:spacing w:before="0" w:after="283"/>
              <w:jc w:val="left"/>
              <w:rPr/>
            </w:pPr>
            <w:r>
              <w:rPr/>
              <w:t> </w:t>
            </w:r>
          </w:p>
        </w:tc>
        <w:tc>
          <w:tcPr>
            <w:tcW w:w="6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382"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operating lease contracts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ind w:left="0" w:right="0" w:hanging="0"/>
              <w:jc w:val="left"/>
              <w:rPr/>
            </w:pPr>
            <w:r>
              <w:rPr/>
              <w:t> </w:t>
            </w:r>
          </w:p>
        </w:tc>
        <w:tc>
          <w:tcPr>
            <w:tcW w:w="6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3"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ind w:left="0" w:right="0" w:hanging="0"/>
              <w:jc w:val="left"/>
              <w:rPr/>
            </w:pPr>
            <w:r>
              <w:rPr/>
              <w:t> </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 contracts</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3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Supplemental information related to operating leases</w:t>
      </w:r>
      <w:r>
        <w:rPr>
          <w:rFonts w:ascii="Times New Roman" w:hAnsi="Times New Roman"/>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tbl>
      <w:tblPr>
        <w:tblW w:w="9107" w:type="dxa"/>
        <w:jc w:val="left"/>
        <w:tblInd w:w="0" w:type="dxa"/>
        <w:tblLayout w:type="fixed"/>
        <w:tblCellMar>
          <w:top w:w="0" w:type="dxa"/>
          <w:left w:w="0" w:type="dxa"/>
          <w:bottom w:w="0" w:type="dxa"/>
          <w:right w:w="0" w:type="dxa"/>
        </w:tblCellMar>
      </w:tblPr>
      <w:tblGrid>
        <w:gridCol w:w="6170"/>
        <w:gridCol w:w="60"/>
        <w:gridCol w:w="319"/>
        <w:gridCol w:w="706"/>
        <w:gridCol w:w="474"/>
        <w:gridCol w:w="153"/>
        <w:gridCol w:w="319"/>
        <w:gridCol w:w="706"/>
        <w:gridCol w:w="200"/>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474" w:type="dxa"/>
            <w:tcBorders>
              <w:bottom w:val="single" w:sz="2" w:space="0" w:color="000000"/>
            </w:tcBorders>
            <w:tcMar>
              <w:bottom w:w="28"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474"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20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474"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02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200"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474"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319"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used for operating leases (US$’000)</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47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20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new lease liabilities (US$’000)</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47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200"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47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ind w:left="0" w:right="0" w:hanging="0"/>
              <w:jc w:val="left"/>
              <w:rPr/>
            </w:pPr>
            <w:r>
              <w:rPr/>
              <w:t> </w:t>
            </w:r>
          </w:p>
        </w:tc>
        <w:tc>
          <w:tcPr>
            <w:tcW w:w="7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200"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4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0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Accounts receivable, net</w:t>
            </w:r>
          </w:p>
        </w:tc>
      </w:tr>
    </w:tbl>
    <w:p>
      <w:pPr>
        <w:pStyle w:val="TextBody"/>
        <w:bidi w:val="0"/>
        <w:spacing w:before="0" w:after="0"/>
        <w:ind w:left="0" w:right="0" w:hanging="0"/>
        <w:jc w:val="left"/>
        <w:rPr>
          <w:caps w:val="false"/>
          <w:smallCaps w:val="false"/>
        </w:rPr>
      </w:pPr>
      <w:r>
        <w:rPr>
          <w:caps w:val="false"/>
          <w:smallCaps w:val="false"/>
        </w:rPr>
        <w:t> </w:t>
      </w:r>
    </w:p>
    <w:tbl>
      <w:tblPr>
        <w:tblW w:w="4523" w:type="dxa"/>
        <w:jc w:val="left"/>
        <w:tblInd w:w="0" w:type="dxa"/>
        <w:tblLayout w:type="fixed"/>
        <w:tblCellMar>
          <w:top w:w="0" w:type="dxa"/>
          <w:left w:w="0" w:type="dxa"/>
          <w:bottom w:w="0" w:type="dxa"/>
          <w:right w:w="0" w:type="dxa"/>
        </w:tblCellMar>
      </w:tblPr>
      <w:tblGrid>
        <w:gridCol w:w="2045"/>
        <w:gridCol w:w="60"/>
        <w:gridCol w:w="99"/>
        <w:gridCol w:w="910"/>
        <w:gridCol w:w="80"/>
        <w:gridCol w:w="60"/>
        <w:gridCol w:w="115"/>
        <w:gridCol w:w="1059"/>
        <w:gridCol w:w="9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5,682</w:t>
            </w:r>
          </w:p>
        </w:tc>
        <w:tc>
          <w:tcPr>
            <w:tcW w:w="9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545</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All of the accounts receivable are non-interest bearing. The Company maintains an estimated allowance for credit losses to reduce its accounts receivable to the amount that it believes will be collected. The Company evaluates its accounts receivable on a collective (pool) basis and determines the allowance for credit loss based on aging data, historical collection experience, customer specific facts, current economic conditions and reasonable and supportable forecasts of future economic conditions. For the six and three months ended June 30, 2026, the Company reversed approximately US$0.18 million and nil in credit losses for its accounts receivable, respectively. For the six and three months ended June 30, 2025, the Company provided approximately US$0.31 million and approximately US$0.30 million credit losses for its accounts receivable,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31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Prepayments and deposit to suppliers</w:t>
            </w:r>
          </w:p>
        </w:tc>
      </w:tr>
    </w:tbl>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0" w:type="dxa"/>
          <w:right w:w="0" w:type="dxa"/>
        </w:tblCellMar>
      </w:tblPr>
      <w:tblGrid>
        <w:gridCol w:w="3845"/>
        <w:gridCol w:w="60"/>
        <w:gridCol w:w="110"/>
        <w:gridCol w:w="899"/>
        <w:gridCol w:w="60"/>
        <w:gridCol w:w="60"/>
        <w:gridCol w:w="128"/>
        <w:gridCol w:w="1046"/>
        <w:gridCol w:w="75"/>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to advertising resources providers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Prepayments to advertising resources providers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w:t>
            </w:r>
          </w:p>
        </w:tc>
        <w:tc>
          <w:tcPr>
            <w:tcW w:w="75"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for investing activities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deposits and prepayments</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5,755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5,211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17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current assets</w:t>
            </w:r>
          </w:p>
        </w:tc>
      </w:tr>
    </w:tbl>
    <w:p>
      <w:pPr>
        <w:pStyle w:val="TextBody"/>
        <w:bidi w:val="0"/>
        <w:spacing w:before="0" w:after="0"/>
        <w:ind w:left="0" w:right="0" w:hanging="0"/>
        <w:jc w:val="left"/>
        <w:rPr>
          <w:caps w:val="false"/>
          <w:smallCaps w:val="false"/>
        </w:rPr>
      </w:pPr>
      <w:r>
        <w:rPr>
          <w:caps w:val="false"/>
          <w:smallCaps w:val="false"/>
        </w:rPr>
        <w:t> </w:t>
      </w:r>
    </w:p>
    <w:tbl>
      <w:tblPr>
        <w:tblW w:w="5588" w:type="dxa"/>
        <w:jc w:val="left"/>
        <w:tblInd w:w="0" w:type="dxa"/>
        <w:tblLayout w:type="fixed"/>
        <w:tblCellMar>
          <w:top w:w="0" w:type="dxa"/>
          <w:left w:w="0" w:type="dxa"/>
          <w:bottom w:w="0" w:type="dxa"/>
          <w:right w:w="0" w:type="dxa"/>
        </w:tblCellMar>
      </w:tblPr>
      <w:tblGrid>
        <w:gridCol w:w="3110"/>
        <w:gridCol w:w="60"/>
        <w:gridCol w:w="99"/>
        <w:gridCol w:w="910"/>
        <w:gridCol w:w="80"/>
        <w:gridCol w:w="60"/>
        <w:gridCol w:w="115"/>
        <w:gridCol w:w="1059"/>
        <w:gridCol w:w="9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to unrelated parties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95"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loans interest receivables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9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Staff advances for business operations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current assets</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w:t>
            </w:r>
          </w:p>
        </w:tc>
        <w:tc>
          <w:tcPr>
            <w:tcW w:w="95"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w:t>
            </w:r>
          </w:p>
        </w:tc>
        <w:tc>
          <w:tcPr>
            <w:tcW w:w="60" w:type="dxa"/>
            <w:tcBorders/>
            <w:shd w:fill="CCEEFF" w:val="clear"/>
            <w:vAlign w:val="center"/>
          </w:tcPr>
          <w:p>
            <w:pPr>
              <w:pStyle w:val="TableContents"/>
              <w:bidi w:val="0"/>
              <w:spacing w:before="0" w:after="283"/>
              <w:jc w:val="left"/>
              <w:rPr/>
            </w:pPr>
            <w:r>
              <w:rPr/>
              <w:t> </w:t>
            </w:r>
          </w:p>
        </w:tc>
        <w:tc>
          <w:tcPr>
            <w:tcW w:w="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1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current assets, net</w:t>
            </w:r>
          </w:p>
        </w:tc>
        <w:tc>
          <w:tcPr>
            <w:tcW w:w="60" w:type="dxa"/>
            <w:tcBorders/>
            <w:shd w:fill="FFFFFF" w:val="clear"/>
            <w:vAlign w:val="center"/>
          </w:tcPr>
          <w:p>
            <w:pPr>
              <w:pStyle w:val="TableContents"/>
              <w:bidi w:val="0"/>
              <w:spacing w:before="0" w:after="283"/>
              <w:jc w:val="left"/>
              <w:rPr/>
            </w:pPr>
            <w:r>
              <w:rPr/>
              <w:t> </w:t>
            </w:r>
          </w:p>
        </w:tc>
        <w:tc>
          <w:tcPr>
            <w:tcW w:w="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847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830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provided unsecured, interest-bearing short-term loans to two unrelated parties, which were set forth as below. These short-term loans were recorded as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31, 2025, the Company agreed to further extend the term of this loan to March 31, 2026. On March 31, 2026, the Company agreed to further extend the term of this loan to March 31,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 On January 9, 2026, the Company agreed to extend the loan to January 18, 2027. On March 26, 2026, the Company received payment of approximately US$0.05 million to settle outstanding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six months ended June 30, 2026 and 2025, the Company provided approximately US$0.003 million and approximately US$0.38 million in credit losses on short-term loans provided to unrelated parties,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19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investments</w:t>
            </w:r>
          </w:p>
        </w:tc>
      </w:tr>
    </w:tbl>
    <w:p>
      <w:pPr>
        <w:pStyle w:val="TextBody"/>
        <w:bidi w:val="0"/>
        <w:spacing w:before="0" w:after="0"/>
        <w:ind w:left="0" w:right="0" w:hanging="0"/>
        <w:jc w:val="left"/>
        <w:rPr>
          <w:caps w:val="false"/>
          <w:smallCaps w:val="false"/>
        </w:rPr>
      </w:pPr>
      <w:r>
        <w:rPr>
          <w:caps w:val="false"/>
          <w:smallCaps w:val="false"/>
        </w:rPr>
        <w:t> </w:t>
      </w:r>
    </w:p>
    <w:tbl>
      <w:tblPr>
        <w:tblW w:w="4539" w:type="dxa"/>
        <w:jc w:val="left"/>
        <w:tblInd w:w="0" w:type="dxa"/>
        <w:tblLayout w:type="fixed"/>
        <w:tblCellMar>
          <w:top w:w="0" w:type="dxa"/>
          <w:left w:w="0" w:type="dxa"/>
          <w:bottom w:w="0" w:type="dxa"/>
          <w:right w:w="0" w:type="dxa"/>
        </w:tblCellMar>
      </w:tblPr>
      <w:tblGrid>
        <w:gridCol w:w="3545"/>
        <w:gridCol w:w="60"/>
        <w:gridCol w:w="94"/>
        <w:gridCol w:w="765"/>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as of January 1, 2026</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translation adjustment</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investments during the year</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Disposed during the year</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losses provided during the year</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as of June 30, 2026 (Unaudited)</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1,117</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except for long-term investments which were fully impaired, the Company beneficially owned a 7.69%, 9.9%, 9.9% equity interest and 19.6% equity interest in each New Business Holdings Limited (“New Business”), Hunan Yong Fu Xiang Health Management Co., Ltd (“Yong Fu Xiang”), Wuhan Ju Liang Media Co., Ltd. (“Wuhan Ju Liang”) and Titans Investment asset Holdings Limited (“Titans”),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each investment which does not have readily determinable fair values at cost minus impairment, if any, plus or minus changes resulting from observable price changes in orderly transactions for the identical or a similar investment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Company provided no impairment loss against its 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60"/>
        <w:gridCol w:w="170"/>
        <w:gridCol w:w="2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4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5078" w:type="dxa"/>
        <w:jc w:val="left"/>
        <w:tblInd w:w="0" w:type="dxa"/>
        <w:tblLayout w:type="fixed"/>
        <w:tblCellMar>
          <w:top w:w="0" w:type="dxa"/>
          <w:left w:w="0" w:type="dxa"/>
          <w:bottom w:w="0" w:type="dxa"/>
          <w:right w:w="0" w:type="dxa"/>
        </w:tblCellMar>
      </w:tblPr>
      <w:tblGrid>
        <w:gridCol w:w="2600"/>
        <w:gridCol w:w="60"/>
        <w:gridCol w:w="99"/>
        <w:gridCol w:w="910"/>
        <w:gridCol w:w="80"/>
        <w:gridCol w:w="60"/>
        <w:gridCol w:w="115"/>
        <w:gridCol w:w="1059"/>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59"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Vehicles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4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40" w:right="0" w:hanging="0"/>
              <w:jc w:val="left"/>
              <w:rPr/>
            </w:pPr>
            <w:r>
              <w:rPr/>
              <w:t> </w:t>
            </w:r>
          </w:p>
        </w:tc>
        <w:tc>
          <w:tcPr>
            <w:tcW w:w="10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Electronic devices</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cost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4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40" w:right="0" w:hanging="0"/>
              <w:jc w:val="left"/>
              <w:rPr/>
            </w:pPr>
            <w:r>
              <w:rPr/>
              <w:t> </w:t>
            </w:r>
          </w:p>
        </w:tc>
        <w:tc>
          <w:tcPr>
            <w:tcW w:w="105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1,945</w:t>
            </w:r>
          </w:p>
        </w:tc>
        <w:tc>
          <w:tcPr>
            <w:tcW w:w="95" w:type="dxa"/>
            <w:tcBorders/>
            <w:shd w:fill="CCEEFF" w:val="clear"/>
            <w:vAlign w:val="center"/>
          </w:tcPr>
          <w:p>
            <w:pPr>
              <w:pStyle w:val="TableContents"/>
              <w:bidi w:val="0"/>
              <w:spacing w:before="0" w:after="283"/>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5" w:type="dxa"/>
            <w:tcBorders>
              <w:bottom w:val="single" w:sz="2" w:space="0" w:color="000000"/>
            </w:tcBorders>
            <w:shd w:fill="FFFF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bottom w:val="double" w:sz="6" w:space="0" w:color="000000"/>
            </w:tcBorders>
            <w:shd w:fill="CCEEFF" w:val="clear"/>
            <w:tcMar>
              <w:bottom w:w="28" w:type="dxa"/>
            </w:tcMar>
            <w:vAlign w:val="center"/>
          </w:tcPr>
          <w:p>
            <w:pPr>
              <w:pStyle w:val="TableContents"/>
              <w:bidi w:val="0"/>
              <w:spacing w:before="0" w:after="283"/>
              <w:ind w:left="40" w:right="0" w:hanging="0"/>
              <w:jc w:val="left"/>
              <w:rPr/>
            </w:pPr>
            <w:r>
              <w:rPr/>
              <w:t> </w:t>
            </w:r>
          </w:p>
        </w:tc>
        <w:tc>
          <w:tcPr>
            <w:tcW w:w="10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expenses for the six months ended June 30, 2026 and 2025 were approximately US$0.02 million and US$0.02 million, respectively. Depreciation expenses for the three months ended June 30, 2026 and 2025 were approximately US$0.01 million and US$0.01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60"/>
        <w:gridCol w:w="275"/>
        <w:gridCol w:w="180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8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Intangible assets, net </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365"/>
        <w:gridCol w:w="60"/>
        <w:gridCol w:w="180"/>
        <w:gridCol w:w="859"/>
        <w:gridCol w:w="60"/>
        <w:gridCol w:w="60"/>
        <w:gridCol w:w="250"/>
        <w:gridCol w:w="1090"/>
        <w:gridCol w:w="80"/>
        <w:gridCol w:w="60"/>
        <w:gridCol w:w="227"/>
        <w:gridCol w:w="993"/>
        <w:gridCol w:w="80"/>
        <w:gridCol w:w="60"/>
        <w:gridCol w:w="282"/>
        <w:gridCol w:w="757"/>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 (Unaudited)</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both"/>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--10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Rahula’s Intellectual Property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10,439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(6,271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365"/>
        <w:gridCol w:w="60"/>
        <w:gridCol w:w="180"/>
        <w:gridCol w:w="859"/>
        <w:gridCol w:w="60"/>
        <w:gridCol w:w="60"/>
        <w:gridCol w:w="250"/>
        <w:gridCol w:w="1090"/>
        <w:gridCol w:w="80"/>
        <w:gridCol w:w="60"/>
        <w:gridCol w:w="227"/>
        <w:gridCol w:w="993"/>
        <w:gridCol w:w="80"/>
        <w:gridCol w:w="60"/>
        <w:gridCol w:w="282"/>
        <w:gridCol w:w="757"/>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038" w:type="dxa"/>
            <w:gridSpan w:val="14"/>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December 31, 2025 </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Items</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Value</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subject to amortization: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--10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Cloud compute software technology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Licensed products use right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 tracking system</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Live streaming technology</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 years life: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Rahula’s Intellectual Property</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Integrated Framework</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ind w:left="0" w:right="0" w:hanging="0"/>
              <w:jc w:val="left"/>
              <w:rPr/>
            </w:pPr>
            <w:r>
              <w:rPr/>
              <w:t> </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Bo!News application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ind w:left="0" w:right="0" w:hanging="0"/>
              <w:jc w:val="left"/>
              <w:rPr/>
            </w:pPr>
            <w:r>
              <w:rPr/>
              <w:t> </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computer software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10,382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(6,119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515</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expenses for the six months ended June 30, 2026 and 2025 were approximately US$0.12 million and US$0.07 million, respectively. Amortization expenses for the three months ended June 30, 2026 and 2025 were approximately US$0.06 million and US$0.06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Based on the adjusted carrying value of the finite-lived intangible assets after the deduction of the impairment losses, which has a weighted average remaining useful life of 1.95 years as of June 30, 2026, and assuming no further subsequent impairment of the underlying intangible assets, the estimated future amortization expenses is  approximately US$0.18 million for the year ending December 31, 2026, approximately US$0.24 million for the year ending December 31, 2027 and approximately US$0.05 million for the year ending December 31,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55" w:type="dxa"/>
        <w:jc w:val="left"/>
        <w:tblInd w:w="0" w:type="dxa"/>
        <w:tblLayout w:type="fixed"/>
        <w:tblCellMar>
          <w:top w:w="0" w:type="dxa"/>
          <w:left w:w="0" w:type="dxa"/>
          <w:bottom w:w="0" w:type="dxa"/>
          <w:right w:w="0" w:type="dxa"/>
        </w:tblCellMar>
      </w:tblPr>
      <w:tblGrid>
        <w:gridCol w:w="60"/>
        <w:gridCol w:w="275"/>
        <w:gridCol w:w="30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30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Accrued payroll and other accruals</w:t>
            </w:r>
          </w:p>
        </w:tc>
      </w:tr>
    </w:tbl>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2705"/>
        <w:gridCol w:w="60"/>
        <w:gridCol w:w="179"/>
        <w:gridCol w:w="830"/>
        <w:gridCol w:w="60"/>
        <w:gridCol w:w="60"/>
        <w:gridCol w:w="177"/>
        <w:gridCol w:w="997"/>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9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 and staff welfare</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operating expenses</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517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60"/>
        <w:gridCol w:w="275"/>
        <w:gridCol w:w="8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8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Taxation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taxes payable consists of:</w:t>
      </w:r>
    </w:p>
    <w:p>
      <w:pPr>
        <w:pStyle w:val="TextBody"/>
        <w:bidi w:val="0"/>
        <w:spacing w:before="0" w:after="0"/>
        <w:ind w:left="0" w:right="0" w:hanging="0"/>
        <w:jc w:val="left"/>
        <w:rPr>
          <w:caps w:val="false"/>
          <w:smallCaps w:val="false"/>
        </w:rPr>
      </w:pPr>
      <w:r>
        <w:rPr>
          <w:caps w:val="false"/>
          <w:smallCaps w:val="false"/>
        </w:rPr>
        <w:t> </w:t>
      </w:r>
    </w:p>
    <w:tbl>
      <w:tblPr>
        <w:tblW w:w="5383" w:type="dxa"/>
        <w:jc w:val="left"/>
        <w:tblInd w:w="0" w:type="dxa"/>
        <w:tblLayout w:type="fixed"/>
        <w:tblCellMar>
          <w:top w:w="0" w:type="dxa"/>
          <w:left w:w="0" w:type="dxa"/>
          <w:bottom w:w="0" w:type="dxa"/>
          <w:right w:w="0" w:type="dxa"/>
        </w:tblCellMar>
      </w:tblPr>
      <w:tblGrid>
        <w:gridCol w:w="2945"/>
        <w:gridCol w:w="60"/>
        <w:gridCol w:w="110"/>
        <w:gridCol w:w="899"/>
        <w:gridCol w:w="60"/>
        <w:gridCol w:w="60"/>
        <w:gridCol w:w="128"/>
        <w:gridCol w:w="1046"/>
        <w:gridCol w:w="75"/>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0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Turnover tax and surcharge payable</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75"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Enterprise income tax payable</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taxes payable</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3,249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and 2025, the Company’s income tax benefit/(expenses) consisted of:</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595"/>
        <w:gridCol w:w="60"/>
        <w:gridCol w:w="326"/>
        <w:gridCol w:w="683"/>
        <w:gridCol w:w="307"/>
        <w:gridCol w:w="307"/>
        <w:gridCol w:w="640"/>
        <w:gridCol w:w="498"/>
        <w:gridCol w:w="60"/>
        <w:gridCol w:w="60"/>
        <w:gridCol w:w="326"/>
        <w:gridCol w:w="683"/>
        <w:gridCol w:w="308"/>
        <w:gridCol w:w="308"/>
        <w:gridCol w:w="321"/>
        <w:gridCol w:w="688"/>
        <w:gridCol w:w="75"/>
      </w:tblGrid>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6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07" w:type="dxa"/>
            <w:tcBorders>
              <w:bottom w:val="single" w:sz="2" w:space="0" w:color="000000"/>
            </w:tcBorders>
            <w:tcMar>
              <w:bottom w:w="28" w:type="dxa"/>
            </w:tcMar>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08" w:type="dxa"/>
            <w:tcBorders>
              <w:bottom w:val="single" w:sz="2" w:space="0" w:color="000000"/>
            </w:tcBorders>
            <w:tcMar>
              <w:bottom w:w="28" w:type="dxa"/>
            </w:tcMar>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307"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4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321"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307" w:type="dxa"/>
            <w:tcBorders/>
            <w:shd w:fill="CCEEFF" w:val="cle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ind w:left="0" w:right="0" w:hanging="0"/>
              <w:jc w:val="left"/>
              <w:rPr/>
            </w:pPr>
            <w:r>
              <w:rPr/>
              <w:t> </w:t>
            </w:r>
          </w:p>
        </w:tc>
        <w:tc>
          <w:tcPr>
            <w:tcW w:w="4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shd w:fill="CCEEFF" w:val="clear"/>
            <w:vAlign w:val="center"/>
          </w:tcPr>
          <w:p>
            <w:pPr>
              <w:pStyle w:val="TableContents"/>
              <w:bidi w:val="0"/>
              <w:spacing w:before="0" w:after="283"/>
              <w:ind w:left="0" w:right="0" w:hanging="0"/>
              <w:jc w:val="left"/>
              <w:rPr/>
            </w:pPr>
            <w:r>
              <w:rPr/>
              <w:t> </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308"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3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6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30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w:t>
            </w:r>
          </w:p>
        </w:tc>
        <w:tc>
          <w:tcPr>
            <w:tcW w:w="30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7" w:type="dxa"/>
            <w:tcBorders/>
            <w:shd w:fill="CCEEFF" w:val="clear"/>
            <w:vAlign w:val="center"/>
          </w:tcPr>
          <w:p>
            <w:pPr>
              <w:pStyle w:val="TableContents"/>
              <w:bidi w:val="0"/>
              <w:spacing w:before="0" w:after="283"/>
              <w:jc w:val="left"/>
              <w:rPr/>
            </w:pPr>
            <w:r>
              <w:rPr/>
              <w:t> </w:t>
            </w:r>
          </w:p>
        </w:tc>
        <w:tc>
          <w:tcPr>
            <w:tcW w:w="6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w:t>
            </w:r>
          </w:p>
        </w:tc>
        <w:tc>
          <w:tcPr>
            <w:tcW w:w="3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deferred tax assets as of June 30, 2026 and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6443" w:type="dxa"/>
        <w:jc w:val="left"/>
        <w:tblInd w:w="0" w:type="dxa"/>
        <w:tblLayout w:type="fixed"/>
        <w:tblCellMar>
          <w:top w:w="0" w:type="dxa"/>
          <w:left w:w="0" w:type="dxa"/>
          <w:bottom w:w="0" w:type="dxa"/>
          <w:right w:w="0" w:type="dxa"/>
        </w:tblCellMar>
      </w:tblPr>
      <w:tblGrid>
        <w:gridCol w:w="3965"/>
        <w:gridCol w:w="60"/>
        <w:gridCol w:w="85"/>
        <w:gridCol w:w="924"/>
        <w:gridCol w:w="80"/>
        <w:gridCol w:w="60"/>
        <w:gridCol w:w="98"/>
        <w:gridCol w:w="1076"/>
        <w:gridCol w:w="95"/>
      </w:tblGrid>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2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07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net operating losses carried forward</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10,853</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long-term investments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on intangible assets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9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0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95"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debts provision</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9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10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9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U.S. holding company has incurred aggregate net operating losses (“NOLs”) of approximately US$35.68 million and US$35.24 million as of June 30, 2026 and December 31, 2025, respectively. The NOLs carryforwards as of December 31, 2017 gradually expire over time, the last of which expires in 2037. NOLs incurred after December 31, 2017 will no longer be available to carry back but can be carried forward indefinitely, subject to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NOLs carried forward incurred by the Company’s PRC subsidiaries and VIEs were approximately US$9.01 million and US$8.99 million as of June 30, 2026 and December 31, 2025, respectively. The losses carryforwards gradually expire over time, the last of which will expire in 2028. The related deferred tax assets were calculated based on the respective NOLs incurred by each of the PRC subsidiaries and VIEs and the respective corresponding enacted tax rate that will be in effect in the period in which the losses are expected to be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approximately US$13.29 million and US$13.10 million valuation allowance as of June 30, 2026 and December 31, 2025, respectively, because it is considered more likely than not that a portion of the deferred tax assets will not be realized through sufficient future earnings of the entities to which the operating losses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the Company recorded approximately US$0.08 million and US$0.07 million deferred tax valuation allowance, respectively. For the six and three months ended June 30, 2025, the Company recorded approximately US$0.24 million and US$0.13 million deferred tax valuation allowance,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60"/>
        <w:gridCol w:w="275"/>
        <w:gridCol w:w="36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w:t>
            </w:r>
          </w:p>
        </w:tc>
        <w:tc>
          <w:tcPr>
            <w:tcW w:w="36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borrowing from a related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Long-term borrowing from a related party is a non-interest bearing loan from a related parity of the Company relating to the original paid-in capital contribution in the Company’s wholly-owned subsidiary Rise King Century Technology Development (Beijing) Co., Ltd. (“Rise King WFOE”), which is not expected to be repaid within one year.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60"/>
        <w:gridCol w:w="275"/>
        <w:gridCol w:w="170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w:t>
            </w:r>
          </w:p>
        </w:tc>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net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is a Nevada holding company with operations primarily conducted in China through its PRC subsidiaries, the consolidated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June 30, 2026 and December 31, 2025, net assets restricted in the aggregate, that are included in the Company’s consolidated net assets, were approximately US$13.07 million and US$13.23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60"/>
        <w:gridCol w:w="275"/>
        <w:gridCol w:w="30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Employee defined contribution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of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approximately US$0.02 million and US$0.03 million for the six months ended June 30, 2026 and 2025, respectively. The total amounts for such employee benefits were approximately US$0.01 million and US$0.01 million for the three months ended June 30, 2026 and 2025, respectively.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our Hong Kong employees, the Company also evaluates long service payments to be made by the Company to its employees upon the termination of services as a defined benefit plan under post-employment benefits. The cost of providing benefits is measured using projected unit credit method with actuarial valuations to determine its present value and service cost. When the calculation results in a benefit to the Company, the recognized assets limited to lower of the present value of economic benefits available in the form of any future refunds from the plan or reductions in future contributions to the plan and the asset ceiling. The net defined benefit liabilities recognized in the statement of financial position represent the present value of the obligation under defined benefit plan minus the fair value of plan assets. The remeasurement of the net defined benefit liabilities during a period are recognized as cost of defined benefit plan during the period. For the six months ended June 30, 2026, the Company did not recognize long service payments as the amount was considered immaterial.</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60"/>
        <w:gridCol w:w="275"/>
        <w:gridCol w:w="182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w:t>
            </w:r>
          </w:p>
        </w:tc>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significant concentrations of credit risk consist primarily of cash and cash equivalents, accounts receivable, and deposits and loans to unrelated parties. As of June 30, 2026, 76% of the Company’s cash and cash equivalents were held by major financial institutions located in China, the remaining 24% was held by financial institutions located in the United States of America. The Company believes that these financial institutions located in China and the United States of America are of high credit quality. For accounts receivable and deposits and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accounts receivable and deposits and loans to unrelated parties are significantly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customers for the six and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5"/>
        <w:gridCol w:w="1013"/>
        <w:gridCol w:w="60"/>
        <w:gridCol w:w="1013"/>
        <w:gridCol w:w="60"/>
        <w:gridCol w:w="1013"/>
        <w:gridCol w:w="60"/>
        <w:gridCol w:w="1013"/>
        <w:gridCol w:w="60"/>
        <w:gridCol w:w="1013"/>
        <w:gridCol w:w="60"/>
        <w:gridCol w:w="1015"/>
      </w:tblGrid>
      <w:tr>
        <w:trPr/>
        <w:tc>
          <w:tcPr>
            <w:tcW w:w="382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A</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B</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C</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D</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E</w:t>
            </w:r>
          </w:p>
        </w:tc>
        <w:tc>
          <w:tcPr>
            <w:tcW w:w="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Customer F</w:t>
            </w:r>
          </w:p>
        </w:tc>
      </w:tr>
      <w:tr>
        <w:trPr/>
        <w:tc>
          <w:tcPr>
            <w:tcW w:w="382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80%</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8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83%</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8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8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customer concentration risk</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86%</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825"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June 30, 2026</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81%</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825"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pPr>
            <w:r>
              <w:rPr/>
              <w:t> </w:t>
            </w:r>
          </w:p>
        </w:tc>
      </w:tr>
      <w:tr>
        <w:trPr/>
        <w:tc>
          <w:tcPr>
            <w:tcW w:w="3825" w:type="dxa"/>
            <w:tcBorders/>
            <w:shd w:fill="FFFFFF" w:val="clear"/>
            <w:vAlign w:val="center"/>
          </w:tcPr>
          <w:p>
            <w:pPr>
              <w:pStyle w:val="TableContents"/>
              <w:bidi w:val="0"/>
              <w:spacing w:before="0" w:after="0"/>
              <w:ind w:left="160" w:right="0" w:hanging="16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2025</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5" w:type="dxa"/>
            <w:tcBorders/>
            <w:shd w:fill="FFFFFF" w:val="clear"/>
            <w:vAlign w:val="center"/>
          </w:tcPr>
          <w:p>
            <w:pPr>
              <w:pStyle w:val="TableContents"/>
              <w:bidi w:val="0"/>
              <w:spacing w:before="0" w:after="283"/>
              <w:jc w:val="left"/>
              <w:rPr/>
            </w:pPr>
            <w:r>
              <w:rPr/>
              <w:t> </w:t>
            </w:r>
          </w:p>
        </w:tc>
      </w:tr>
      <w:tr>
        <w:trPr/>
        <w:tc>
          <w:tcPr>
            <w:tcW w:w="3825" w:type="dxa"/>
            <w:tcBorders/>
            <w:shd w:fill="CCEEFF" w:val="clear"/>
            <w:vAlign w:val="center"/>
          </w:tcPr>
          <w:p>
            <w:pPr>
              <w:pStyle w:val="TableContents"/>
              <w:bidi w:val="0"/>
              <w:spacing w:before="0" w:after="0"/>
              <w:ind w:left="160" w:right="0" w:hanging="1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customer concentration risk</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78%</w:t>
            </w:r>
          </w:p>
        </w:tc>
        <w:tc>
          <w:tcPr>
            <w:tcW w:w="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period/no balance existed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Concentration of 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summarized the information about the Company’s concentration of suppliers for the six and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3650"/>
        <w:gridCol w:w="60"/>
        <w:gridCol w:w="920"/>
        <w:gridCol w:w="60"/>
        <w:gridCol w:w="920"/>
        <w:gridCol w:w="60"/>
        <w:gridCol w:w="920"/>
        <w:gridCol w:w="60"/>
        <w:gridCol w:w="93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A</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B</w:t>
            </w:r>
          </w:p>
        </w:tc>
        <w:tc>
          <w:tcPr>
            <w:tcW w:w="60" w:type="dxa"/>
            <w:tcBorders/>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C</w:t>
            </w:r>
          </w:p>
        </w:tc>
        <w:tc>
          <w:tcPr>
            <w:tcW w:w="60" w:type="dxa"/>
            <w:tcBorders/>
            <w:vAlign w:val="center"/>
          </w:tcPr>
          <w:p>
            <w:pPr>
              <w:pStyle w:val="TableContents"/>
              <w:bidi w:val="0"/>
              <w:spacing w:before="0" w:after="283"/>
              <w:jc w:val="left"/>
              <w:rPr/>
            </w:pPr>
            <w:r>
              <w:rPr/>
              <w:t> </w:t>
            </w:r>
          </w:p>
        </w:tc>
        <w:tc>
          <w:tcPr>
            <w:tcW w:w="9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Supplier D</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72%</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36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28%</w:t>
            </w:r>
          </w:p>
        </w:tc>
      </w:tr>
      <w:tr>
        <w:trPr/>
        <w:tc>
          <w:tcPr>
            <w:tcW w:w="36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r>
      <w:tr>
        <w:trPr/>
        <w:tc>
          <w:tcPr>
            <w:tcW w:w="3650" w:type="dxa"/>
            <w:tcBorders/>
            <w:shd w:fill="FFFFFF" w:val="clear"/>
            <w:vAlign w:val="center"/>
          </w:tcPr>
          <w:p>
            <w:pPr>
              <w:pStyle w:val="TableContents"/>
              <w:bidi w:val="0"/>
              <w:spacing w:before="0" w:after="0"/>
              <w:ind w:left="200" w:right="0" w:hanging="20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200" w:right="0" w:hanging="20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supplier concentration risk</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88%</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Less than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No transaction incurred for the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60"/>
        <w:gridCol w:w="275"/>
        <w:gridCol w:w="27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17.</w:t>
            </w:r>
          </w:p>
        </w:tc>
        <w:tc>
          <w:tcPr>
            <w:tcW w:w="27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June 2023, the Company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60"/>
        <w:gridCol w:w="275"/>
        <w:gridCol w:w="159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18.</w:t>
            </w:r>
          </w:p>
        </w:tc>
        <w:tc>
          <w:tcPr>
            <w:tcW w:w="15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2026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36"/>
        <w:gridCol w:w="60"/>
        <w:gridCol w:w="92"/>
        <w:gridCol w:w="755"/>
        <w:gridCol w:w="80"/>
        <w:gridCol w:w="60"/>
        <w:gridCol w:w="153"/>
        <w:gridCol w:w="594"/>
        <w:gridCol w:w="60"/>
        <w:gridCol w:w="60"/>
        <w:gridCol w:w="111"/>
        <w:gridCol w:w="629"/>
        <w:gridCol w:w="80"/>
        <w:gridCol w:w="60"/>
        <w:gridCol w:w="244"/>
        <w:gridCol w:w="939"/>
        <w:gridCol w:w="60"/>
        <w:gridCol w:w="60"/>
        <w:gridCol w:w="76"/>
        <w:gridCol w:w="754"/>
        <w:gridCol w:w="80"/>
        <w:gridCol w:w="60"/>
        <w:gridCol w:w="127"/>
        <w:gridCol w:w="1389"/>
        <w:gridCol w:w="80"/>
        <w:gridCol w:w="60"/>
        <w:gridCol w:w="60"/>
        <w:gridCol w:w="485"/>
        <w:gridCol w:w="101"/>
      </w:tblGrid>
      <w:tr>
        <w:trPr/>
        <w:tc>
          <w:tcPr>
            <w:tcW w:w="2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101" w:type="dxa"/>
            <w:tcBorders/>
            <w:vAlign w:val="center"/>
          </w:tcPr>
          <w:p>
            <w:pPr>
              <w:pStyle w:val="TableContents"/>
              <w:bidi w:val="0"/>
              <w:spacing w:before="0" w:after="283"/>
              <w:jc w:val="left"/>
              <w:rPr/>
            </w:pPr>
            <w:r>
              <w:rPr/>
              <w:t> </w:t>
            </w:r>
          </w:p>
        </w:tc>
      </w:tr>
      <w:tr>
        <w:trPr/>
        <w:tc>
          <w:tcPr>
            <w:tcW w:w="28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3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01" w:type="dxa"/>
            <w:tcBorders/>
            <w:shd w:fill="CCEE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101" w:type="dxa"/>
            <w:tcBorders/>
            <w:shd w:fill="FFFFFF" w:val="clear"/>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01" w:type="dxa"/>
            <w:tcBorders/>
            <w:shd w:fill="CCEE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0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 for long-term assets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01" w:type="dxa"/>
            <w:tcBorders/>
            <w:shd w:fill="CCEE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3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38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June 30, 2026</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ind w:left="0" w:right="0" w:hanging="0"/>
              <w:jc w:val="left"/>
              <w:rPr/>
            </w:pPr>
            <w:r>
              <w:rPr/>
              <w:t> </w:t>
            </w:r>
          </w:p>
        </w:tc>
        <w:tc>
          <w:tcPr>
            <w:tcW w:w="6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3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9,750</w:t>
            </w:r>
          </w:p>
        </w:tc>
        <w:tc>
          <w:tcPr>
            <w:tcW w:w="101" w:type="dxa"/>
            <w:tcBorders/>
            <w:shd w:fill="CCEEFF"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2025</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ind w:left="0" w:right="0" w:hanging="0"/>
              <w:jc w:val="left"/>
              <w:rPr/>
            </w:pPr>
            <w:r>
              <w:rPr/>
              <w:t> </w:t>
            </w:r>
          </w:p>
        </w:tc>
        <w:tc>
          <w:tcPr>
            <w:tcW w:w="6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3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w:t>
            </w:r>
          </w:p>
        </w:tc>
        <w:tc>
          <w:tcPr>
            <w:tcW w:w="10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2026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7"/>
        <w:gridCol w:w="60"/>
        <w:gridCol w:w="132"/>
        <w:gridCol w:w="744"/>
        <w:gridCol w:w="80"/>
        <w:gridCol w:w="60"/>
        <w:gridCol w:w="155"/>
        <w:gridCol w:w="600"/>
        <w:gridCol w:w="60"/>
        <w:gridCol w:w="60"/>
        <w:gridCol w:w="154"/>
        <w:gridCol w:w="594"/>
        <w:gridCol w:w="80"/>
        <w:gridCol w:w="60"/>
        <w:gridCol w:w="519"/>
        <w:gridCol w:w="694"/>
        <w:gridCol w:w="60"/>
        <w:gridCol w:w="60"/>
        <w:gridCol w:w="109"/>
        <w:gridCol w:w="721"/>
        <w:gridCol w:w="80"/>
        <w:gridCol w:w="60"/>
        <w:gridCol w:w="672"/>
        <w:gridCol w:w="898"/>
        <w:gridCol w:w="60"/>
        <w:gridCol w:w="60"/>
        <w:gridCol w:w="61"/>
        <w:gridCol w:w="408"/>
        <w:gridCol w:w="87"/>
      </w:tblGrid>
      <w:tr>
        <w:trPr/>
        <w:tc>
          <w:tcPr>
            <w:tcW w:w="2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7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7" w:type="dxa"/>
            <w:tcBorders/>
            <w:vAlign w:val="center"/>
          </w:tcPr>
          <w:p>
            <w:pPr>
              <w:pStyle w:val="TableContents"/>
              <w:bidi w:val="0"/>
              <w:spacing w:before="0" w:after="283"/>
              <w:jc w:val="left"/>
              <w:rPr/>
            </w:pPr>
            <w:r>
              <w:rPr/>
              <w:t> </w:t>
            </w:r>
          </w:p>
        </w:tc>
      </w:tr>
      <w:tr>
        <w:trPr/>
        <w:tc>
          <w:tcPr>
            <w:tcW w:w="28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9"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2" w:type="dxa"/>
            <w:tcBorders/>
            <w:vAlign w:val="center"/>
          </w:tcPr>
          <w:p>
            <w:pPr>
              <w:pStyle w:val="TableContents"/>
              <w:bidi w:val="0"/>
              <w:spacing w:before="0" w:after="283"/>
              <w:jc w:val="left"/>
              <w:rPr/>
            </w:pPr>
            <w:r>
              <w:rPr/>
              <w:t> </w:t>
            </w:r>
          </w:p>
        </w:tc>
        <w:tc>
          <w:tcPr>
            <w:tcW w:w="8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08"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2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87" w:type="dxa"/>
            <w:tcBorders/>
            <w:shd w:fill="CCEEFF" w:val="clear"/>
            <w:vAlign w:val="center"/>
          </w:tcPr>
          <w:p>
            <w:pPr>
              <w:pStyle w:val="TableContents"/>
              <w:bidi w:val="0"/>
              <w:spacing w:before="0" w:after="283"/>
              <w:jc w:val="left"/>
              <w:rPr/>
            </w:pPr>
            <w:r>
              <w:rPr/>
              <w:t> </w:t>
            </w:r>
          </w:p>
        </w:tc>
      </w:tr>
      <w:tr>
        <w:trPr/>
        <w:tc>
          <w:tcPr>
            <w:tcW w:w="28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ind w:left="0" w:right="0" w:hanging="0"/>
              <w:jc w:val="left"/>
              <w:rPr/>
            </w:pPr>
            <w:r>
              <w:rPr/>
              <w:t> </w:t>
            </w:r>
          </w:p>
        </w:tc>
        <w:tc>
          <w:tcPr>
            <w:tcW w:w="69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7" w:type="dxa"/>
            <w:tcBorders/>
            <w:shd w:fill="FFFFFF" w:val="clear"/>
            <w:vAlign w:val="center"/>
          </w:tcPr>
          <w:p>
            <w:pPr>
              <w:pStyle w:val="TableContents"/>
              <w:bidi w:val="0"/>
              <w:spacing w:before="0" w:after="283"/>
              <w:jc w:val="left"/>
              <w:rPr/>
            </w:pPr>
            <w:r>
              <w:rPr/>
              <w:t> </w:t>
            </w:r>
          </w:p>
        </w:tc>
      </w:tr>
      <w:tr>
        <w:trPr/>
        <w:tc>
          <w:tcPr>
            <w:tcW w:w="2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87" w:type="dxa"/>
            <w:tcBorders/>
            <w:shd w:fill="CCEEFF" w:val="clear"/>
            <w:vAlign w:val="center"/>
          </w:tcPr>
          <w:p>
            <w:pPr>
              <w:pStyle w:val="TableContents"/>
              <w:bidi w:val="0"/>
              <w:spacing w:before="0" w:after="283"/>
              <w:jc w:val="left"/>
              <w:rPr/>
            </w:pPr>
            <w:r>
              <w:rPr/>
              <w:t> </w:t>
            </w:r>
          </w:p>
        </w:tc>
      </w:tr>
      <w:tr>
        <w:trPr/>
        <w:tc>
          <w:tcPr>
            <w:tcW w:w="281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2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 for long-term assets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7" w:type="dxa"/>
            <w:tcBorders/>
            <w:shd w:fill="CCEEFF" w:val="clear"/>
            <w:vAlign w:val="center"/>
          </w:tcPr>
          <w:p>
            <w:pPr>
              <w:pStyle w:val="TableContents"/>
              <w:bidi w:val="0"/>
              <w:spacing w:before="0" w:after="283"/>
              <w:jc w:val="left"/>
              <w:rPr/>
            </w:pPr>
            <w:r>
              <w:rPr/>
              <w:t> </w:t>
            </w:r>
          </w:p>
        </w:tc>
      </w:tr>
      <w:tr>
        <w:trPr/>
        <w:tc>
          <w:tcPr>
            <w:tcW w:w="28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281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ind w:left="0" w:right="0" w:hanging="0"/>
              <w:jc w:val="left"/>
              <w:rPr/>
            </w:pPr>
            <w:r>
              <w:rPr/>
              <w:t> </w:t>
            </w:r>
          </w:p>
        </w:tc>
        <w:tc>
          <w:tcPr>
            <w:tcW w:w="69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72"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64"/>
        <w:gridCol w:w="60"/>
        <w:gridCol w:w="100"/>
        <w:gridCol w:w="821"/>
        <w:gridCol w:w="80"/>
        <w:gridCol w:w="60"/>
        <w:gridCol w:w="114"/>
        <w:gridCol w:w="644"/>
        <w:gridCol w:w="60"/>
        <w:gridCol w:w="60"/>
        <w:gridCol w:w="191"/>
        <w:gridCol w:w="1073"/>
        <w:gridCol w:w="60"/>
        <w:gridCol w:w="60"/>
        <w:gridCol w:w="76"/>
        <w:gridCol w:w="754"/>
        <w:gridCol w:w="80"/>
        <w:gridCol w:w="60"/>
        <w:gridCol w:w="139"/>
        <w:gridCol w:w="1520"/>
        <w:gridCol w:w="80"/>
        <w:gridCol w:w="60"/>
        <w:gridCol w:w="60"/>
        <w:gridCol w:w="545"/>
        <w:gridCol w:w="84"/>
      </w:tblGrid>
      <w:tr>
        <w:trPr/>
        <w:tc>
          <w:tcPr>
            <w:tcW w:w="3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4" w:type="dxa"/>
            <w:tcBorders/>
            <w:vAlign w:val="center"/>
          </w:tcPr>
          <w:p>
            <w:pPr>
              <w:pStyle w:val="TableContents"/>
              <w:bidi w:val="0"/>
              <w:spacing w:before="0" w:after="283"/>
              <w:jc w:val="left"/>
              <w:rPr/>
            </w:pPr>
            <w:r>
              <w:rPr/>
              <w:t> </w:t>
            </w:r>
          </w:p>
        </w:tc>
      </w:tr>
      <w:tr>
        <w:trPr/>
        <w:tc>
          <w:tcPr>
            <w:tcW w:w="33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c>
          <w:tcPr>
            <w:tcW w:w="6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84" w:type="dxa"/>
            <w:tcBorders/>
            <w:shd w:fill="CCEEFF" w:val="clear"/>
            <w:vAlign w:val="center"/>
          </w:tcPr>
          <w:p>
            <w:pPr>
              <w:pStyle w:val="TableContents"/>
              <w:bidi w:val="0"/>
              <w:spacing w:before="0" w:after="283"/>
              <w:jc w:val="left"/>
              <w:rPr/>
            </w:pPr>
            <w:r>
              <w:rPr/>
              <w:t> </w:t>
            </w:r>
          </w:p>
        </w:tc>
      </w:tr>
      <w:tr>
        <w:trPr/>
        <w:tc>
          <w:tcPr>
            <w:tcW w:w="33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4" w:type="dxa"/>
            <w:tcBorders/>
            <w:shd w:fill="FFFFFF" w:val="clear"/>
            <w:vAlign w:val="center"/>
          </w:tcPr>
          <w:p>
            <w:pPr>
              <w:pStyle w:val="TableContents"/>
              <w:bidi w:val="0"/>
              <w:spacing w:before="0" w:after="283"/>
              <w:jc w:val="left"/>
              <w:rPr/>
            </w:pPr>
            <w:r>
              <w:rPr/>
              <w:t> </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4" w:type="dxa"/>
            <w:tcBorders/>
            <w:shd w:fill="CCEEFF" w:val="clear"/>
            <w:vAlign w:val="center"/>
          </w:tcPr>
          <w:p>
            <w:pPr>
              <w:pStyle w:val="TableContents"/>
              <w:bidi w:val="0"/>
              <w:spacing w:before="0" w:after="283"/>
              <w:jc w:val="left"/>
              <w:rPr/>
            </w:pPr>
            <w:r>
              <w:rPr/>
              <w:t> </w:t>
            </w:r>
          </w:p>
        </w:tc>
      </w:tr>
      <w:tr>
        <w:trPr/>
        <w:tc>
          <w:tcPr>
            <w:tcW w:w="33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33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33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6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336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8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0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15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9,246</w:t>
            </w:r>
          </w:p>
        </w:tc>
        <w:tc>
          <w:tcPr>
            <w:tcW w:w="84" w:type="dxa"/>
            <w:tcBorders/>
            <w:shd w:fill="FFFFFF" w:val="clear"/>
            <w:vAlign w:val="center"/>
          </w:tcPr>
          <w:p>
            <w:pPr>
              <w:pStyle w:val="TableContents"/>
              <w:bidi w:val="0"/>
              <w:spacing w:before="0" w:after="283"/>
              <w:jc w:val="left"/>
              <w:rPr/>
            </w:pPr>
            <w:r>
              <w:rPr/>
              <w:t> </w:t>
            </w:r>
          </w:p>
        </w:tc>
      </w:tr>
      <w:tr>
        <w:trPr/>
        <w:tc>
          <w:tcPr>
            <w:tcW w:w="336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assets-December 31, 2024</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8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 2025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0"/>
        <w:gridCol w:w="60"/>
        <w:gridCol w:w="124"/>
        <w:gridCol w:w="826"/>
        <w:gridCol w:w="80"/>
        <w:gridCol w:w="60"/>
        <w:gridCol w:w="157"/>
        <w:gridCol w:w="608"/>
        <w:gridCol w:w="60"/>
        <w:gridCol w:w="60"/>
        <w:gridCol w:w="554"/>
        <w:gridCol w:w="741"/>
        <w:gridCol w:w="60"/>
        <w:gridCol w:w="60"/>
        <w:gridCol w:w="109"/>
        <w:gridCol w:w="721"/>
        <w:gridCol w:w="80"/>
        <w:gridCol w:w="60"/>
        <w:gridCol w:w="734"/>
        <w:gridCol w:w="981"/>
        <w:gridCol w:w="60"/>
        <w:gridCol w:w="60"/>
        <w:gridCol w:w="62"/>
        <w:gridCol w:w="412"/>
        <w:gridCol w:w="86"/>
      </w:tblGrid>
      <w:tr>
        <w:trPr/>
        <w:tc>
          <w:tcPr>
            <w:tcW w:w="3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and related service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 technology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Inter-segment and reconciling item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(‘000)</w:t>
            </w:r>
          </w:p>
        </w:tc>
        <w:tc>
          <w:tcPr>
            <w:tcW w:w="86" w:type="dxa"/>
            <w:tcBorders/>
            <w:vAlign w:val="center"/>
          </w:tcPr>
          <w:p>
            <w:pPr>
              <w:pStyle w:val="TableContents"/>
              <w:bidi w:val="0"/>
              <w:spacing w:before="0" w:after="283"/>
              <w:jc w:val="left"/>
              <w:rPr/>
            </w:pPr>
            <w:r>
              <w:rPr/>
              <w:t> </w:t>
            </w:r>
          </w:p>
        </w:tc>
      </w:tr>
      <w:tr>
        <w:trPr/>
        <w:tc>
          <w:tcPr>
            <w:tcW w:w="3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4" w:type="dxa"/>
            <w:tcBorders/>
            <w:vAlign w:val="center"/>
          </w:tcPr>
          <w:p>
            <w:pPr>
              <w:pStyle w:val="TableContents"/>
              <w:bidi w:val="0"/>
              <w:spacing w:before="0" w:after="283"/>
              <w:jc w:val="left"/>
              <w:rPr/>
            </w:pPr>
            <w:r>
              <w:rPr/>
              <w:t> </w:t>
            </w:r>
          </w:p>
        </w:tc>
        <w:tc>
          <w:tcPr>
            <w:tcW w:w="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86"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86"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86"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 included in cost of revenues and total operating expenses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86"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income/(loss)</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8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60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4"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1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8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4"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60"/>
        <w:gridCol w:w="275"/>
        <w:gridCol w:w="12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19.</w:t>
            </w:r>
          </w:p>
        </w:tc>
        <w:tc>
          <w:tcPr>
            <w:tcW w:w="12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Basic and diluted loss per share for each of the periods presented are calculated as follows (All amounts, except number of shares and per share data,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71"/>
        <w:gridCol w:w="60"/>
        <w:gridCol w:w="132"/>
        <w:gridCol w:w="895"/>
        <w:gridCol w:w="84"/>
        <w:gridCol w:w="63"/>
        <w:gridCol w:w="132"/>
        <w:gridCol w:w="895"/>
        <w:gridCol w:w="80"/>
        <w:gridCol w:w="60"/>
        <w:gridCol w:w="140"/>
        <w:gridCol w:w="949"/>
        <w:gridCol w:w="89"/>
        <w:gridCol w:w="67"/>
        <w:gridCol w:w="140"/>
        <w:gridCol w:w="949"/>
        <w:gridCol w:w="99"/>
      </w:tblGrid>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02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9" w:type="dxa"/>
            <w:tcBorders/>
            <w:vAlign w:val="center"/>
          </w:tcPr>
          <w:p>
            <w:pPr>
              <w:pStyle w:val="TableContents"/>
              <w:bidi w:val="0"/>
              <w:spacing w:before="0" w:after="283"/>
              <w:jc w:val="left"/>
              <w:rPr/>
            </w:pPr>
            <w:r>
              <w:rPr/>
              <w:t> </w:t>
            </w:r>
          </w:p>
        </w:tc>
      </w:tr>
      <w:tr>
        <w:trPr/>
        <w:tc>
          <w:tcPr>
            <w:tcW w:w="53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8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(income)/loss attributable to noncontrolling interests from continued operations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ZW Data Action Technologies Inc. (numerator for basic and diluted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3,423,125</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2,342,790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3,576,121</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2,383,918</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3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53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(0.10</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ZW DATA ACTION TECHNOLOGIES INC.</w:t>
      </w:r>
      <w:bookmarkStart w:id="13" w:name="notesend"/>
      <w:bookmarkEnd w:id="13"/>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and 2025, the diluted loss per share calculation did not include any outstanding warrants to purchase the Company’s common stock, because they were out-of-the-money and their effect was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60"/>
        <w:gridCol w:w="275"/>
        <w:gridCol w:w="305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w:t>
            </w:r>
          </w:p>
        </w:tc>
        <w:tc>
          <w:tcPr>
            <w:tcW w:w="305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On April 22, 2026, the Company granted an aggregate of 400,000 shares of its common stock to certain directors and employees of the Company pursuant to its equity incentive plan, including 165,000 shares granted to George Kai Chu, a director of the Company. The Company valued these shares at US$0.765 per share, the closing bid price of the Company’s common stock on the grant date of these shares. Of the 400,000 shares of common stock granted, 100,000 shares was granted to an employee in exchange for services for a 12-month period, which we recorded approximately US$0.08 million as a prepayment. Total compensation expense amortized was approximately US$0.01 million for the six and three months ended June 30, 2026. The remaining 300,000 shares of common stock granted was issued to directors and employees of the Company for services provided and these shares were valued at the closing bid price of the Company’s common stock on the respective date of the grant with total compensation expenses of approximately US$0.23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In August 2024, the Company granted and issued approximately 0.18 million fully-vested and non-forfeitable shares of the Company restricted common stock to business and financial consultants in exchange for their service for a 12-month period until August 2025. The Company valued these shares at the closing bid price of the Company’s common stock on the grant date of these shares and recorded the related total cost of approximately US$0.35 million as a prepayment upon the grant and issuance of these shares. Total compensation expenses amortized was approximately US$0.29 million and US$0.14 million for the six and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summarized share-based compensation expenses recorded for the six and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3005"/>
        <w:gridCol w:w="60"/>
        <w:gridCol w:w="152"/>
        <w:gridCol w:w="857"/>
        <w:gridCol w:w="151"/>
        <w:gridCol w:w="151"/>
        <w:gridCol w:w="152"/>
        <w:gridCol w:w="857"/>
        <w:gridCol w:w="60"/>
        <w:gridCol w:w="60"/>
        <w:gridCol w:w="167"/>
        <w:gridCol w:w="935"/>
        <w:gridCol w:w="167"/>
        <w:gridCol w:w="167"/>
        <w:gridCol w:w="167"/>
        <w:gridCol w:w="935"/>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1" w:type="dxa"/>
            <w:tcBorders>
              <w:bottom w:val="single" w:sz="2" w:space="0" w:color="000000"/>
            </w:tcBorders>
            <w:tcMar>
              <w:bottom w:w="28"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67" w:type="dxa"/>
            <w:tcBorders>
              <w:bottom w:val="single" w:sz="2" w:space="0" w:color="000000"/>
            </w:tcBorders>
            <w:tcMar>
              <w:bottom w:w="28" w:type="dxa"/>
            </w:tcMar>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ind w:left="0" w:right="0" w:hanging="0"/>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US$(’000)</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ind w:left="0" w:right="0" w:hanging="0"/>
              <w:jc w:val="left"/>
              <w:rPr/>
            </w:pPr>
            <w:r>
              <w:rPr/>
              <w:t> </w:t>
            </w:r>
          </w:p>
        </w:tc>
        <w:tc>
          <w:tcPr>
            <w:tcW w:w="110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51"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5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242</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70" w:type="dxa"/>
        <w:jc w:val="left"/>
        <w:tblInd w:w="0" w:type="dxa"/>
        <w:tblLayout w:type="fixed"/>
        <w:tblCellMar>
          <w:top w:w="0" w:type="dxa"/>
          <w:left w:w="0" w:type="dxa"/>
          <w:bottom w:w="0" w:type="dxa"/>
          <w:right w:w="0" w:type="dxa"/>
        </w:tblCellMar>
      </w:tblPr>
      <w:tblGrid>
        <w:gridCol w:w="60"/>
        <w:gridCol w:w="275"/>
        <w:gridCol w:w="153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21.</w:t>
            </w:r>
          </w:p>
        </w:tc>
        <w:tc>
          <w:tcPr>
            <w:tcW w:w="153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The Company has performed an evaluation of subsequent events through the date the financial statements were issued and has determined that there are no events that are material to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000" w:right="0" w:hanging="720"/>
        <w:jc w:val="left"/>
        <w:rPr>
          <w:rFonts w:ascii="Times New Roman" w:hAnsi="Times New Roman"/>
          <w:caps w:val="false"/>
          <w:smallCaps w:val="false"/>
          <w:sz w:val="20"/>
        </w:rPr>
      </w:pPr>
      <w:r>
        <w:rPr>
          <w:rFonts w:ascii="Times New Roman" w:hAnsi="Times New Roman"/>
          <w:b/>
          <w:caps w:val="false"/>
          <w:smallCaps w:val="false"/>
          <w:sz w:val="20"/>
        </w:rPr>
        <w:t xml:space="preserve">Item 2. </w:t>
      </w:r>
      <w:r>
        <w:rPr>
          <w:rFonts w:ascii="Times New Roman" w:hAnsi="Times New Roman"/>
          <w:caps w:val="false"/>
          <w:smallCaps w:val="false"/>
          <w:sz w:val="20"/>
        </w:rPr>
        <w:t>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4" w:name="i2"/>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in conjunction with our consolidated financial statements and the related notes included elsewhere in this interim report. Our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 w:hAnsi="Times New Roman"/>
          <w:caps w:val="false"/>
          <w:smallCaps w:val="false"/>
          <w:sz w:val="20"/>
        </w:rPr>
        <w:t>“</w:t>
      </w:r>
      <w:r>
        <w:rPr>
          <w:rFonts w:ascii="Times New Roman" w:hAnsi="Times New Roman"/>
          <w:i/>
          <w:caps w:val="false"/>
          <w:smallCaps w:val="false"/>
          <w:sz w:val="20"/>
        </w:rPr>
        <w:t>expect,</w:t>
      </w:r>
      <w:r>
        <w:rPr>
          <w:rFonts w:ascii="Times New Roman" w:hAnsi="Times New Roman"/>
          <w:caps w:val="false"/>
          <w:smallCaps w:val="false"/>
          <w:sz w:val="20"/>
        </w:rPr>
        <w:t>” “</w:t>
      </w:r>
      <w:r>
        <w:rPr>
          <w:rFonts w:ascii="Times New Roman" w:hAnsi="Times New Roman"/>
          <w:i/>
          <w:caps w:val="false"/>
          <w:smallCaps w:val="false"/>
          <w:sz w:val="20"/>
        </w:rPr>
        <w:t>anticipate,</w:t>
      </w:r>
      <w:r>
        <w:rPr>
          <w:rFonts w:ascii="Times New Roman" w:hAnsi="Times New Roman"/>
          <w:caps w:val="false"/>
          <w:smallCaps w:val="false"/>
          <w:sz w:val="20"/>
        </w:rPr>
        <w:t>” “</w:t>
      </w:r>
      <w:r>
        <w:rPr>
          <w:rFonts w:ascii="Times New Roman" w:hAnsi="Times New Roman"/>
          <w:i/>
          <w:caps w:val="false"/>
          <w:smallCaps w:val="false"/>
          <w:sz w:val="20"/>
        </w:rPr>
        <w:t>intend,</w:t>
      </w:r>
      <w:r>
        <w:rPr>
          <w:rFonts w:ascii="Times New Roman" w:hAnsi="Times New Roman"/>
          <w:caps w:val="false"/>
          <w:smallCaps w:val="false"/>
          <w:sz w:val="20"/>
        </w:rPr>
        <w:t>” “</w:t>
      </w:r>
      <w:r>
        <w:rPr>
          <w:rFonts w:ascii="Times New Roman" w:hAnsi="Times New Roman"/>
          <w:i/>
          <w:caps w:val="false"/>
          <w:smallCaps w:val="false"/>
          <w:sz w:val="20"/>
        </w:rPr>
        <w:t>believe,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our Annual Report on Form 10-K for the fiscal year ended December 31, 2025. Readers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The Public Company Accounting Oversight Board (</w:t>
      </w:r>
      <w:r>
        <w:rPr>
          <w:rFonts w:ascii="Times New Roman" w:hAnsi="Times New Roman"/>
          <w:caps w:val="false"/>
          <w:smallCaps w:val="false"/>
          <w:sz w:val="20"/>
        </w:rPr>
        <w:t>“</w:t>
      </w:r>
      <w:r>
        <w:rPr>
          <w:rFonts w:ascii="Times New Roman" w:hAnsi="Times New Roman"/>
          <w:b/>
          <w:caps w:val="false"/>
          <w:smallCaps w:val="false"/>
          <w:sz w:val="20"/>
        </w:rPr>
        <w:t>PCAOB</w:t>
      </w:r>
      <w:r>
        <w:rPr>
          <w:rFonts w:ascii="Times New Roman" w:hAnsi="Times New Roman"/>
          <w:caps w:val="false"/>
          <w:smallCaps w:val="false"/>
          <w:sz w:val="20"/>
        </w:rPr>
        <w:t>”</w:t>
      </w:r>
      <w:r>
        <w:rPr>
          <w:rFonts w:ascii="Times New Roman" w:hAnsi="Times New Roman"/>
          <w:b/>
          <w:caps w:val="false"/>
          <w:smallCaps w:val="false"/>
          <w:sz w:val="20"/>
        </w:rPr>
        <w:t xml:space="preserve">) had historically been unable to inspect our auditor in relation to their audit work performed for our financial statements and the inability of the PCAOB to conduct inspections over our auditor deprived our investors of the benefits of such inspections.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Our auditor, ARK Pro CPA &amp; Co. (“ARK”),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Our common stock may be delisted and prohibited from trading in the United States under the Holding Foreign Companies Accountable Act, or the HFCAA,</w:t>
      </w:r>
      <w:r>
        <w:rPr>
          <w:rFonts w:ascii="Times New Roman" w:hAnsi="Times New Roman"/>
          <w:caps w:val="false"/>
          <w:smallCaps w:val="false"/>
          <w:sz w:val="20"/>
        </w:rPr>
        <w:t> </w:t>
      </w:r>
      <w:r>
        <w:rPr>
          <w:rFonts w:ascii="Times New Roman" w:hAnsi="Times New Roman"/>
          <w:b/>
          <w:caps w:val="false"/>
          <w:smallCaps w:val="false"/>
          <w:sz w:val="20"/>
        </w:rPr>
        <w:t>as amended by the Accelerating Holding Foreign Companies Accountable Act,</w:t>
      </w:r>
      <w:r>
        <w:rPr>
          <w:rFonts w:ascii="Times New Roman" w:hAnsi="Times New Roman"/>
          <w:caps w:val="false"/>
          <w:smallCaps w:val="false"/>
          <w:sz w:val="20"/>
        </w:rPr>
        <w:t> </w:t>
      </w:r>
      <w:r>
        <w:rPr>
          <w:rFonts w:ascii="Times New Roman" w:hAnsi="Times New Roman"/>
          <w:b/>
          <w:caps w:val="false"/>
          <w:smallCaps w:val="false"/>
          <w:sz w:val="20"/>
        </w:rPr>
        <w:t>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2025.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20"/>
        <w:jc w:val="both"/>
        <w:rPr>
          <w:rFonts w:ascii="Times New Roman" w:hAnsi="Times New Roman"/>
          <w:caps w:val="false"/>
          <w:smallCaps w:val="false"/>
          <w:sz w:val="20"/>
        </w:rPr>
      </w:pPr>
      <w:r>
        <w:rPr>
          <w:rFonts w:ascii="Times New Roman" w:hAnsi="Times New Roman"/>
          <w:caps w:val="false"/>
          <w:smallCaps w:val="false"/>
          <w:sz w:val="20"/>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and our operating subsidiaries outside of mainland China, is primarily engaged in providing Internet advertising, precision marketing, influencer marketing services as well as the related data and technical services to SMEs. The Company also develops blockchain enabled web/mobile applications and provides software solutions, i.e., Software-as-a-Service (“SaaS”) services for clients, engages in IP licensing services and AI services. As part of an ongoing strategic shift, the Company’s operations are now primarily conducted outside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During fiscal 2025, we have strategically repositioned our core business, i.e., our Internet advertising and related marketing service business to have a renewed focus on markets outside of mainland China; as such, the Company’s operations are now primarily conducted outside mainland China. We have shifted our client focus away from the distribution of search engine marketing services in the PRC towards higher margin digital advertising opportunities, including influencer marketing services and providing marketing services in markets outside mainland China. We are also seeking to acquire and build teams with AI capabilities and proprietary intellectual properties that enable more accurate marketing solutions and cost-effective content creation so that we can better service our clients. With over 17 years of experience serving China’s SME sector, the Company has developed deep operational insight into how businesses acquire customers, generate revenue, and scale across markets. Building on this foundation,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Through these efforts, the Company aims to improve service efficiency and support revenue growth for our SME clients.</w:t>
      </w:r>
    </w:p>
    <w:p>
      <w:pPr>
        <w:pStyle w:val="TextBody"/>
        <w:bidi w:val="0"/>
        <w:spacing w:before="0" w:after="0"/>
        <w:ind w:left="300" w:right="0" w:firstLine="440"/>
        <w:jc w:val="both"/>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i/>
          <w:caps w:val="false"/>
          <w:smallCaps w:val="false"/>
          <w:sz w:val="20"/>
        </w:rPr>
      </w:pPr>
      <w:r>
        <w:rPr>
          <w:rFonts w:ascii="Times New Roman" w:hAnsi="Times New Roman"/>
          <w:i/>
          <w:caps w:val="false"/>
          <w:smallCaps w:val="false"/>
          <w:sz w:val="20"/>
        </w:rPr>
        <w:t>Recent Developments</w:t>
      </w:r>
    </w:p>
    <w:p>
      <w:pPr>
        <w:pStyle w:val="TextBody"/>
        <w:bidi w:val="0"/>
        <w:spacing w:before="0" w:after="0"/>
        <w:ind w:left="1000" w:right="0" w:hanging="72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On June 26, 2026, CNET Technology entered into a purchase agreement with Affirm Mission Limited (“Affirm”), a British Virgin Islands company and Margo Asia Limited, a British Virgin Islands company (“Margo”), pursuant to which Affirm will sell its 8.0% equity interests in Margo (the “Margo Equity Interests”) to CNET Technology. In consideration for the Margo Equity Interests, the Purchaser shall pay to the Seller $384,000 in cash and cause the Company to issue 180,000 shares of common stock of the Company, having a total value of $216,000 and valued at $1.20 per share, to the Seller.</w:t>
      </w:r>
    </w:p>
    <w:p>
      <w:pPr>
        <w:pStyle w:val="TextBody"/>
        <w:bidi w:val="0"/>
        <w:spacing w:before="0" w:after="0"/>
        <w:ind w:left="300" w:right="0" w:firstLine="440"/>
        <w:jc w:val="both"/>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On July 30, 2026, the Company entered into five separate Securities Purchase Agreements with five investors pursuant to which the investors agreed to purchase an aggregate of 1,000,000 shares of the Company's common stock, par value $0.001 per share, at a purchase price of $1.45 per share, for an aggregate purchase price of $1,450,000. The closings are subject to customary closing conditions and will occur on dates mutually agreed by the respective parties. In connection with each Securities Purchase Agreement, each investor also entered into a lock-up agreement with the Company pursuant to which such investor agreed not to transfer the purchased shares until the six-month anniversary of the applicable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Basis of presentation, management estimates and critical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unaudited condensed consolidated financial statements have been prepared in accordance with generally accepted accounting principles in the United States of America (“U.S. GAAP”) and include the accounts of our company, and all of our subsidiaries and VIEs.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Some of our accounting policies require higher degrees of judgment than others in their application. In order to understand the significant accounting policies that we adopted for the preparation of our condensed consolidated interim financial statements, readers should refer to the information set forth in Note 4 “Summary of significant accounting policies” to our audited financial statements in our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the assumptions and estimates associated with revenue recognition, estimation of current expected credit loss and fair value measurement of warrant liabilities have the greatest potential impacts on our condensed consolidated financial statements. Therefore, we consider these to be our critical accounting policies and estimates.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revenues are recognized when control of promised services is transferred to our customers, in an amount that reflects the consideration we expect to be entitled to in exchange for those services. Our revenues from distribution of the right to use search engine marketing service are recognized on a gross basis, because we determine that we are a principal in the transaction who control the services before they are transferred to our customers.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an allowance for credit losses for accounts receivable and short-term loans provided to unrelated parties, which are recorded as valuation accounts that are deducted from the amortized cost basis of the related financial assets to present the net amount expected to be collected on the financial assets. The allowance for credit losses reflects our current estimate of credit losses expected to be incurred over the life of the related financial assets. We consider various factors in establishing, monitoring, and adjusting our allowance for credit losses, including the aging and aging trends, customer/other parties’ creditworthiness and specific exposures related to particular customers/other parties. We also monitor other risk factors and forward-looking information, such as country specific risks and economic factors that may affect a customer/other party’s ability to pay in establishing and adjusting its allowance for credit losses. We assess collectability by reviewing the financial assets on a collective basis where similar characteristics exist and on an individual basis when we identify specific customers/other parties with known disputes or collectability issues. Accounts receivable and short-term loans to unrelated parties are written off after all collection efforts have ceased.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RESULTS OF OPERATIONS FOR THE SIX AND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a summary, for the periods indicated, of our consolidated results of operations. Our historical results presented below are not necessarily indicative of the results that may be expected for any future period. All amounts are presented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048" w:type="dxa"/>
        <w:jc w:val="left"/>
        <w:tblInd w:w="0" w:type="dxa"/>
        <w:tblLayout w:type="fixed"/>
        <w:tblCellMar>
          <w:top w:w="0" w:type="dxa"/>
          <w:left w:w="0" w:type="dxa"/>
          <w:bottom w:w="0" w:type="dxa"/>
          <w:right w:w="0" w:type="dxa"/>
        </w:tblCellMar>
      </w:tblPr>
      <w:tblGrid>
        <w:gridCol w:w="4895"/>
        <w:gridCol w:w="60"/>
        <w:gridCol w:w="206"/>
        <w:gridCol w:w="803"/>
        <w:gridCol w:w="129"/>
        <w:gridCol w:w="97"/>
        <w:gridCol w:w="202"/>
        <w:gridCol w:w="882"/>
        <w:gridCol w:w="80"/>
        <w:gridCol w:w="60"/>
        <w:gridCol w:w="269"/>
        <w:gridCol w:w="850"/>
        <w:gridCol w:w="172"/>
        <w:gridCol w:w="129"/>
        <w:gridCol w:w="269"/>
        <w:gridCol w:w="850"/>
        <w:gridCol w:w="9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2" w:type="dxa"/>
            <w:tcBorders>
              <w:bottom w:val="single" w:sz="2" w:space="0" w:color="000000"/>
            </w:tcBorders>
            <w:tcMar>
              <w:bottom w:w="28" w:type="dxa"/>
            </w:tcMar>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17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 $)</w:t>
            </w:r>
          </w:p>
        </w:tc>
        <w:tc>
          <w:tcPr>
            <w:tcW w:w="9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17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ind w:left="0" w:right="0" w:hanging="0"/>
              <w:jc w:val="left"/>
              <w:rPr/>
            </w:pPr>
            <w:r>
              <w:rPr/>
              <w:t> </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95"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 </w:t>
            </w:r>
          </w:p>
        </w:tc>
        <w:tc>
          <w:tcPr>
            <w:tcW w:w="85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1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74 </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207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47 </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 xml:space="preserve">47 </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both"/>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both"/>
              <w:rPr/>
            </w:pPr>
            <w:r>
              <w:rPr/>
              <w:t> </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both"/>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ind w:left="0" w:right="0" w:hanging="0"/>
              <w:jc w:val="left"/>
              <w:rPr/>
            </w:pPr>
            <w:r>
              <w:rPr/>
              <w:t> </w:t>
            </w:r>
          </w:p>
        </w:tc>
        <w:tc>
          <w:tcPr>
            <w:tcW w:w="803"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ind w:left="0" w:right="0" w:hanging="0"/>
              <w:jc w:val="left"/>
              <w:rPr/>
            </w:pPr>
            <w:r>
              <w:rPr/>
              <w:t> </w:t>
            </w:r>
          </w:p>
        </w:tc>
        <w:tc>
          <w:tcPr>
            <w:tcW w:w="882"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ind w:left="0" w:right="0" w:hanging="0"/>
              <w:jc w:val="left"/>
              <w:rPr/>
            </w:pPr>
            <w:r>
              <w:rPr/>
              <w:t> </w:t>
            </w:r>
          </w:p>
        </w:tc>
        <w:tc>
          <w:tcPr>
            <w:tcW w:w="85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172"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ind w:left="0" w:right="0" w:hanging="0"/>
              <w:jc w:val="left"/>
              <w:rPr/>
            </w:pPr>
            <w:r>
              <w:rPr/>
              <w:t> </w:t>
            </w:r>
          </w:p>
        </w:tc>
        <w:tc>
          <w:tcPr>
            <w:tcW w:w="85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95"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(302</w:t>
            </w:r>
          </w:p>
        </w:tc>
        <w:tc>
          <w:tcPr>
            <w:tcW w:w="12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(1,261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(381</w:t>
            </w:r>
          </w:p>
        </w:tc>
        <w:tc>
          <w:tcPr>
            <w:tcW w:w="17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ind w:left="0" w:right="0" w:hanging="0"/>
              <w:jc w:val="left"/>
              <w:rPr/>
            </w:pPr>
            <w:r>
              <w:rPr/>
              <w:t> </w:t>
            </w:r>
          </w:p>
        </w:tc>
        <w:tc>
          <w:tcPr>
            <w:tcW w:w="8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(682</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income/(expenses)</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both"/>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both"/>
              <w:rPr/>
            </w:pPr>
            <w:r>
              <w:rPr/>
              <w:t> </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7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 net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income/(expenses)</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Loss before income tax benefit/(expense) </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(231</w:t>
            </w:r>
          </w:p>
        </w:tc>
        <w:tc>
          <w:tcPr>
            <w:tcW w:w="12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(354</w:t>
            </w:r>
          </w:p>
        </w:tc>
        <w:tc>
          <w:tcPr>
            <w:tcW w:w="17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(638</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benefit/(expense)</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12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w:t>
            </w:r>
          </w:p>
        </w:tc>
        <w:tc>
          <w:tcPr>
            <w:tcW w:w="17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7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attributable to ZW Data Action Technologies Inc.</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(224</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(350</w:t>
            </w:r>
          </w:p>
        </w:tc>
        <w:tc>
          <w:tcPr>
            <w:tcW w:w="17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9" w:type="dxa"/>
            <w:tcBorders/>
            <w:shd w:fill="CCEEFF" w:val="clear"/>
            <w:vAlign w:val="center"/>
          </w:tcPr>
          <w:p>
            <w:pPr>
              <w:pStyle w:val="TableContents"/>
              <w:bidi w:val="0"/>
              <w:spacing w:before="0" w:after="283"/>
              <w:ind w:left="0" w:right="0" w:hanging="0"/>
              <w:jc w:val="left"/>
              <w:rPr/>
            </w:pPr>
            <w:r>
              <w:rPr/>
              <w:t> </w:t>
            </w:r>
          </w:p>
        </w:tc>
        <w:tc>
          <w:tcPr>
            <w:tcW w:w="2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8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set forth a breakdown of our total revenues, disaggregated by type of services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95"/>
        <w:gridCol w:w="60"/>
        <w:gridCol w:w="253"/>
        <w:gridCol w:w="985"/>
        <w:gridCol w:w="121"/>
        <w:gridCol w:w="121"/>
        <w:gridCol w:w="121"/>
        <w:gridCol w:w="772"/>
        <w:gridCol w:w="376"/>
        <w:gridCol w:w="121"/>
        <w:gridCol w:w="253"/>
        <w:gridCol w:w="985"/>
        <w:gridCol w:w="121"/>
        <w:gridCol w:w="121"/>
        <w:gridCol w:w="121"/>
        <w:gridCol w:w="772"/>
        <w:gridCol w:w="207"/>
      </w:tblGrid>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376" w:type="dxa"/>
            <w:tcBorders>
              <w:bottom w:val="single" w:sz="2" w:space="0" w:color="000000"/>
            </w:tcBorders>
            <w:tcMar>
              <w:bottom w:w="28" w:type="dxa"/>
            </w:tcMar>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ind w:left="0" w:right="0" w:hanging="0"/>
              <w:jc w:val="left"/>
              <w:rPr/>
            </w:pPr>
            <w:r>
              <w:rPr/>
              <w:t> </w:t>
            </w:r>
          </w:p>
        </w:tc>
        <w:tc>
          <w:tcPr>
            <w:tcW w:w="23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4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3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3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3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3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ind w:left="0" w:right="0" w:hanging="0"/>
              <w:jc w:val="left"/>
              <w:rPr/>
            </w:pPr>
            <w:r>
              <w:rPr/>
              <w:t> </w:t>
            </w:r>
          </w:p>
        </w:tc>
        <w:tc>
          <w:tcPr>
            <w:tcW w:w="77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07" w:type="dxa"/>
            <w:tcBorders/>
            <w:shd w:fill="FFFFFF" w:val="clear"/>
            <w:vAlign w:val="center"/>
          </w:tcPr>
          <w:p>
            <w:pPr>
              <w:pStyle w:val="TableContents"/>
              <w:bidi w:val="0"/>
              <w:spacing w:before="0" w:after="283"/>
              <w:jc w:val="left"/>
              <w:rPr/>
            </w:pPr>
            <w:r>
              <w:rPr/>
              <w:t> </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37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7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20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37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2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2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3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 w:type="dxa"/>
            <w:tcBorders/>
            <w:shd w:fill="CCEE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2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16"/>
        <w:gridCol w:w="60"/>
        <w:gridCol w:w="285"/>
        <w:gridCol w:w="769"/>
        <w:gridCol w:w="135"/>
        <w:gridCol w:w="135"/>
        <w:gridCol w:w="135"/>
        <w:gridCol w:w="872"/>
        <w:gridCol w:w="423"/>
        <w:gridCol w:w="135"/>
        <w:gridCol w:w="285"/>
        <w:gridCol w:w="769"/>
        <w:gridCol w:w="135"/>
        <w:gridCol w:w="135"/>
        <w:gridCol w:w="135"/>
        <w:gridCol w:w="872"/>
        <w:gridCol w:w="209"/>
      </w:tblGrid>
      <w:tr>
        <w:trPr/>
        <w:tc>
          <w:tcPr>
            <w:tcW w:w="4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423" w:type="dxa"/>
            <w:tcBorders>
              <w:bottom w:val="single" w:sz="2"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23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 type</w:t>
            </w:r>
          </w:p>
        </w:tc>
        <w:tc>
          <w:tcPr>
            <w:tcW w:w="60" w:type="dxa"/>
            <w:tcBorders/>
            <w:vAlign w:val="center"/>
          </w:tcPr>
          <w:p>
            <w:pPr>
              <w:pStyle w:val="TableContents"/>
              <w:bidi w:val="0"/>
              <w:spacing w:before="0" w:after="283"/>
              <w:ind w:left="0" w:right="0" w:hanging="0"/>
              <w:jc w:val="left"/>
              <w:rPr/>
            </w:pPr>
            <w:r>
              <w:rPr/>
              <w:t> </w:t>
            </w:r>
          </w:p>
        </w:tc>
        <w:tc>
          <w:tcPr>
            <w:tcW w:w="522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20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7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423"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769"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r>
      <w:tr>
        <w:trPr/>
        <w:tc>
          <w:tcPr>
            <w:tcW w:w="4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4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4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w:t>
            </w:r>
          </w:p>
        </w:tc>
        <w:tc>
          <w:tcPr>
            <w:tcW w:w="4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42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76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09" w:type="dxa"/>
            <w:tcBorders/>
            <w:shd w:fill="FFFFFF" w:val="clear"/>
            <w:vAlign w:val="center"/>
          </w:tcPr>
          <w:p>
            <w:pPr>
              <w:pStyle w:val="TableContents"/>
              <w:bidi w:val="0"/>
              <w:spacing w:before="0" w:after="283"/>
              <w:jc w:val="left"/>
              <w:rPr/>
            </w:pPr>
            <w:r>
              <w:rPr/>
              <w:t> </w:t>
            </w:r>
          </w:p>
        </w:tc>
      </w:tr>
      <w:tr>
        <w:trPr/>
        <w:tc>
          <w:tcPr>
            <w:tcW w:w="4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42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7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1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42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0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71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2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Total Revenues:</w:t>
      </w:r>
      <w:r>
        <w:rPr>
          <w:rFonts w:ascii="Times New Roman" w:hAnsi="Times New Roman"/>
          <w:caps w:val="false"/>
          <w:smallCaps w:val="false"/>
          <w:sz w:val="20"/>
        </w:rPr>
        <w:t xml:space="preserve"> Our total revenues decreased to US$1.04 million and US$0.65 million for the six and three months ended June 30, 2026, respectively, from US$2.2 million and US$0.55 million for the same periods last year, respectively, which was primarily due to a temporary reduction in demand for our services, driven in part by broader economic headwinds. The Company is refocusing its efforts on expanding its AI services segment. As part of an ongoing strategic shift, the Company’s operations are now primarily conducted outside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internet advertising and related marketing services revenue was approximately US$0.83 million and US$0.54 million, respectively, compared with US$1.44 million and US$0.47 million for the six and three months ended June 30, 2025, respectively. The decrease primarily resulted from a temporary reduction in demand for our services, driven in part by broader economic headwinds. Our internet advertising and related marketing services includes our influencer marketing services. We connect brands with the right voices to effectively promote their products and drive engagement. In addition, we provide tailored digital marketing services, including the management of online advertising campaigns across major search, social media, and mobile application platforms, as well as app store page optimization. We also offer marketing strategy and branding consultation services designed to help clients improve their market positioning and maximize the effectiveness of their digital marketing initiatives.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generated from distribution of the right to use search engine marketing service for the six and three months ended June 30, 2026 was nil, compared with approximately US$0.05 million and nil for the six and three months ended June 30, 2025, respectively. The decrease was mainly due to the winding down of our distribution of the right to use search engine marketing service in the PRC, after experiencing low to negative margins in this business segment over the past several years.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from our AI services was approximately US$0.10 million and US$0.06 million for the six and three months ended June 30, 2026, respectively, compared with nil for the six and three months ended June 30, 2025. Our AI services include code generation, AI agent design and deployment, business consulting and implementation, and ongoing maintenance and optimization of AI systems for our clients.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IP services was approximately US$0.11 million and US$0.05 million for the six and three months ended June 30, 2026, respectively, compared with US$0.10 million and US$0.08 million, respectively for the six and three months ended June 30, 2025. Our IP services revenue was primarily related to licensing activities associated with intellectual property acquired through Rahula.</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and three months ended June 30, 2026, revenue from our blockchain-based SaaS services was approximately nil, respectively, compared with approximately US$0.62 million and nil for the six and three months ended June 30,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cost of revenues consisted of costs directly related to the offering of our Internet advertising, precision marketing and related services, intellectual property amortization costs relating to our IP services, software platform amortization cost related to our blockchain-based SaaS service and costs related to enhancing our blockchain-based SaaS services. The following table sets forth our cost of revenues, disaggregated by type of services, by amount and gross profit ratio for the periods indicated, with inter-company transactions eliminated: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06"/>
        <w:gridCol w:w="60"/>
        <w:gridCol w:w="182"/>
        <w:gridCol w:w="678"/>
        <w:gridCol w:w="82"/>
        <w:gridCol w:w="82"/>
        <w:gridCol w:w="171"/>
        <w:gridCol w:w="460"/>
        <w:gridCol w:w="82"/>
        <w:gridCol w:w="82"/>
        <w:gridCol w:w="86"/>
        <w:gridCol w:w="549"/>
        <w:gridCol w:w="253"/>
        <w:gridCol w:w="82"/>
        <w:gridCol w:w="182"/>
        <w:gridCol w:w="678"/>
        <w:gridCol w:w="82"/>
        <w:gridCol w:w="82"/>
        <w:gridCol w:w="171"/>
        <w:gridCol w:w="665"/>
        <w:gridCol w:w="82"/>
        <w:gridCol w:w="82"/>
        <w:gridCol w:w="86"/>
        <w:gridCol w:w="549"/>
        <w:gridCol w:w="191"/>
      </w:tblGrid>
      <w:tr>
        <w:trPr/>
        <w:tc>
          <w:tcPr>
            <w:tcW w:w="4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4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53"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265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44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53"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19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4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1,323</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5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2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54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91" w:type="dxa"/>
            <w:tcBorders/>
            <w:shd w:fill="FFFFFF" w:val="clear"/>
            <w:vAlign w:val="center"/>
          </w:tcPr>
          <w:p>
            <w:pPr>
              <w:pStyle w:val="TableContents"/>
              <w:bidi w:val="0"/>
              <w:spacing w:before="0" w:after="283"/>
              <w:jc w:val="left"/>
              <w:rPr/>
            </w:pPr>
            <w:r>
              <w:rPr/>
              <w:t> </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25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5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60"/>
        <w:gridCol w:w="60"/>
        <w:gridCol w:w="202"/>
        <w:gridCol w:w="541"/>
        <w:gridCol w:w="90"/>
        <w:gridCol w:w="90"/>
        <w:gridCol w:w="189"/>
        <w:gridCol w:w="507"/>
        <w:gridCol w:w="90"/>
        <w:gridCol w:w="90"/>
        <w:gridCol w:w="90"/>
        <w:gridCol w:w="666"/>
        <w:gridCol w:w="279"/>
        <w:gridCol w:w="90"/>
        <w:gridCol w:w="202"/>
        <w:gridCol w:w="541"/>
        <w:gridCol w:w="90"/>
        <w:gridCol w:w="90"/>
        <w:gridCol w:w="189"/>
        <w:gridCol w:w="507"/>
        <w:gridCol w:w="90"/>
        <w:gridCol w:w="90"/>
        <w:gridCol w:w="90"/>
        <w:gridCol w:w="575"/>
        <w:gridCol w:w="197"/>
      </w:tblGrid>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8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79"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246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8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7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279"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7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GP ratio</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50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marketing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of the right to use search engine marketing service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Internet advertising and related services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AI Services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6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27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97" w:type="dxa"/>
            <w:tcBorders/>
            <w:shd w:fill="FFFFFF" w:val="cle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IP Services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6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27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Blockchain-based SaaS services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Cost of revenues: </w:t>
      </w:r>
      <w:r>
        <w:rPr>
          <w:rFonts w:ascii="Times New Roman" w:hAnsi="Times New Roman"/>
          <w:caps w:val="false"/>
          <w:smallCaps w:val="false"/>
          <w:sz w:val="20"/>
        </w:rPr>
        <w:t>Our total cost of revenues decreased to approximately US$0.96 million and US$0.61 million for the six and three months ended June 30, 2026, respectively, from approximately US$1.99 million and US$0.50 million for the six and three months ended June 30, 2025, respectively. Our cost of revenues primarily consists of search engine marketing resources purchased from key search engines, influencer agency costs, cost of marketing services, amortization of intellectual property cost, software platform amortization cost related to our blockchain-based SaaS service, costs relating to enhancing our blockchain-based SaaS services and other direct costs associated with providing our AI services. The decrease in our total cost of revenues for the six and three months ended June 30, 2026 was primarily due to the decrease in costs associated with the Internet advertising and related marketing service, which was in line with the decrease in the related revenues as discussed in the revenues section above.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Internet advertising and marketing service: These primarily consist of fees paid to service providers who support delivering media planning, creative development, and digital ad management services to our Hong Kong and overseas clients. Our costs also include the cost of operating our influencer marketing services which includes the fees for collaborating with various influencer agencies. For the six and three months ended June 30, 2026, cost of revenues for internet advertising and marketing services were approximately US$0.77 million and US$0.50 million, respectively, compared with approximately US$1.32 million and US$0.44 million, respectively for the six and three months ended June 30, 2025. Our gross margins for our internet advertising and data service for the six and three months ended June 30, 2026 were 7.3% and 7.7%, respectively, compared to 8.1% and 5.5% for the six and three months ended June 30, 2025.</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distribution of the right to use search engine marketing service: These costs represent direct search engine resources consumed for the right to use search engine marketing service that we purchased from key search engines and distributed to our customers. We purchased these search engine resources from well-known search engines and/or their delegated agencies in China, for example, Baidu, Qihu 360 and Sohu (Sogou) etc. We purchased the resources in relatively large amounts under our own name at a relatively lower rate compared to the market rates. We charged our clients the actual cost they consumed on search engines for the use of this service and a premium at certain percentage of that actual consumed cost. For the six and three months ended June 30, 2026, our total cost of revenues for distribution of the right to use search engine marketing service was nil, compared with US$0.04 million and nil for the same periods last year. The decrease in cost of revenues for the six and three months ended June 30, 2026 was in line with the decrease in revenues from this business category. Gross margin rate of this business category was nil for the six and three months ended June 30, 2026, compared with 20.4% and nil gross margin rate incurred for the same periods last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our AI services primarily consist of outsourcing AI code generation, agent design, system integration, and deployment services. For the six and three months ended June 30, 2026, our total cost of revenues for AI services was approximately US$0.08 million and US$0.05 million, respectively. Gross margin rate of this segment was 19% and 19.3% for the six and three months ended June 30,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Costs for our IP service primarily consist of the amortization of the intellectual properties acquired through Rahula. For the six and three months ended June 30, 2026, our total cost of revenues for our IP services was approximately US$0.12 million and US$0.06 million, respectively, compared with approximately US$0.07 million and US$0.06 million for the same periods last year. Gross loss rate of this service for the six and three months ended June 30, 2026 was 3.5% and 11.3%, respectively, compared to gross margin rates of 26.8% and 26.6% for the same periods last year.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Blockchain-based SaaS services: For the six months and three months ended June 30, 2026, cost for our blockchain-based SaaS services was nil, compared with approximately US$0.56 million and nil, respectively, for six and three months ended June 30, 2025. Costs for our blockchain-based SaaS services consist of the amortized cost of our self-developed BIF platform and costs relating to enhancing our blockchain-based SaaS services. Gross margin rate of this business category was nil for the six and three months ended June 30, 2026, respectively, compared with 8.9% and nil gross margin rate for the same periods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both"/>
        <w:rPr>
          <w:rFonts w:ascii="Times New Roman" w:hAnsi="Times New Roman"/>
          <w:b/>
          <w:caps w:val="false"/>
          <w:smallCaps w:val="false"/>
          <w:sz w:val="20"/>
        </w:rPr>
      </w:pPr>
      <w:r>
        <w:rPr>
          <w:rFonts w:ascii="Times New Roman" w:hAnsi="Times New Roman"/>
          <w:b/>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a result of the foregoing, for the six months ended June 30, 2026, we generated a gross profit of approximately US$0.07 million, compared with a gross profit of approximately US$0.21 million for the six months ended June 30, 2025. For the three months ended June 30, 2026, our gross profit was approximately US$0.05 million, compared to approximately US$0.05 million for the three months ended June 30, 2025. Our overall gross margin was 7.1% and 7.2% for the six and three months ended June 30, 2026, respectively, compared with 9.4% and 8.6% for the same periods last year. The decrease in gross profit and gross profit margin were primarily due to the temporary decrease in demand for our Internet advertising and marketing related services, driven in part by broader economic headwinds.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operating expenses consist of sales and marketing expenses, general and administrative expenses and research and development expenses. The following tables set forth our operating expenses, divided into their major categories by amount and as a percentage of our total revenues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980" w:type="dxa"/>
        <w:jc w:val="left"/>
        <w:tblInd w:w="0" w:type="dxa"/>
        <w:tblLayout w:type="fixed"/>
        <w:tblCellMar>
          <w:top w:w="0" w:type="dxa"/>
          <w:left w:w="0" w:type="dxa"/>
          <w:bottom w:w="0" w:type="dxa"/>
          <w:right w:w="0" w:type="dxa"/>
        </w:tblCellMar>
      </w:tblPr>
      <w:tblGrid>
        <w:gridCol w:w="2990"/>
        <w:gridCol w:w="60"/>
        <w:gridCol w:w="274"/>
        <w:gridCol w:w="1064"/>
        <w:gridCol w:w="131"/>
        <w:gridCol w:w="131"/>
        <w:gridCol w:w="204"/>
        <w:gridCol w:w="1300"/>
        <w:gridCol w:w="406"/>
        <w:gridCol w:w="131"/>
        <w:gridCol w:w="274"/>
        <w:gridCol w:w="1064"/>
        <w:gridCol w:w="131"/>
        <w:gridCol w:w="131"/>
        <w:gridCol w:w="204"/>
        <w:gridCol w:w="130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31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06"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64"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3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ind w:left="0" w:right="0" w:hanging="0"/>
              <w:jc w:val="left"/>
              <w:rPr/>
            </w:pPr>
            <w:r>
              <w:rPr/>
              <w:t> </w:t>
            </w:r>
          </w:p>
        </w:tc>
        <w:tc>
          <w:tcPr>
            <w:tcW w:w="2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2,200</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4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10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31"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3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406"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ind w:left="0" w:right="0" w:hanging="0"/>
              <w:jc w:val="left"/>
              <w:rPr/>
            </w:pPr>
            <w:r>
              <w:rPr/>
              <w:t> </w:t>
            </w:r>
          </w:p>
        </w:tc>
        <w:tc>
          <w:tcPr>
            <w:tcW w:w="1064"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ind w:left="0" w:right="0" w:hanging="0"/>
              <w:jc w:val="left"/>
              <w:rPr/>
            </w:pPr>
            <w:r>
              <w:rPr/>
              <w:t> </w:t>
            </w:r>
          </w:p>
        </w:tc>
        <w:tc>
          <w:tcPr>
            <w:tcW w:w="130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ind w:left="0" w:right="0" w:hanging="0"/>
              <w:jc w:val="left"/>
              <w:rPr/>
            </w:pPr>
            <w:r>
              <w:rPr/>
              <w:t> </w:t>
            </w:r>
          </w:p>
        </w:tc>
        <w:tc>
          <w:tcPr>
            <w:tcW w:w="1064"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3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ind w:left="0" w:right="0" w:hanging="0"/>
              <w:jc w:val="left"/>
              <w:rPr/>
            </w:pPr>
            <w:r>
              <w:rPr/>
              <w:t> </w:t>
            </w:r>
          </w:p>
        </w:tc>
        <w:tc>
          <w:tcPr>
            <w:tcW w:w="1300"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40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2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40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 w:type="dxa"/>
            <w:tcBorders/>
            <w:shd w:fill="FFFFFF" w:val="clear"/>
            <w:vAlign w:val="center"/>
          </w:tcPr>
          <w:p>
            <w:pPr>
              <w:pStyle w:val="TableContents"/>
              <w:bidi w:val="0"/>
              <w:spacing w:before="0" w:after="283"/>
              <w:ind w:left="0" w:right="0" w:hanging="0"/>
              <w:jc w:val="left"/>
              <w:rPr/>
            </w:pPr>
            <w:r>
              <w:rPr/>
              <w:t> </w:t>
            </w:r>
          </w:p>
        </w:tc>
        <w:tc>
          <w:tcPr>
            <w:tcW w:w="2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797" w:type="dxa"/>
        <w:jc w:val="left"/>
        <w:tblInd w:w="0" w:type="dxa"/>
        <w:tblLayout w:type="fixed"/>
        <w:tblCellMar>
          <w:top w:w="0" w:type="dxa"/>
          <w:left w:w="0" w:type="dxa"/>
          <w:bottom w:w="0" w:type="dxa"/>
          <w:right w:w="0" w:type="dxa"/>
        </w:tblCellMar>
      </w:tblPr>
      <w:tblGrid>
        <w:gridCol w:w="2990"/>
        <w:gridCol w:w="60"/>
        <w:gridCol w:w="315"/>
        <w:gridCol w:w="848"/>
        <w:gridCol w:w="152"/>
        <w:gridCol w:w="152"/>
        <w:gridCol w:w="205"/>
        <w:gridCol w:w="1299"/>
        <w:gridCol w:w="468"/>
        <w:gridCol w:w="152"/>
        <w:gridCol w:w="315"/>
        <w:gridCol w:w="848"/>
        <w:gridCol w:w="152"/>
        <w:gridCol w:w="152"/>
        <w:gridCol w:w="228"/>
        <w:gridCol w:w="1276"/>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6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39"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2"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315" w:type="dxa"/>
            <w:tcBorders/>
            <w:vAlign w:val="center"/>
          </w:tcPr>
          <w:p>
            <w:pPr>
              <w:pStyle w:val="TableContents"/>
              <w:bidi w:val="0"/>
              <w:spacing w:before="0" w:after="283"/>
              <w:ind w:left="0" w:right="0" w:hanging="0"/>
              <w:jc w:val="center"/>
              <w:rPr/>
            </w:pPr>
            <w:r>
              <w:rPr/>
              <w:t> </w:t>
            </w:r>
          </w:p>
        </w:tc>
        <w:tc>
          <w:tcPr>
            <w:tcW w:w="2656" w:type="dxa"/>
            <w:gridSpan w:val="5"/>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6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expressed in thousands of US dollars, except percentages)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52" w:type="dxa"/>
            <w:tcBorders>
              <w:bottom w:val="single" w:sz="2" w:space="0" w:color="000000"/>
            </w:tcBorders>
            <w:tcMar>
              <w:bottom w:w="28"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468" w:type="dxa"/>
            <w:tcBorders>
              <w:bottom w:val="single" w:sz="2" w:space="0" w:color="000000"/>
            </w:tcBorders>
            <w:tcMar>
              <w:bottom w:w="28"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152" w:type="dxa"/>
            <w:tcBorders>
              <w:bottom w:val="single" w:sz="2" w:space="0" w:color="000000"/>
            </w:tcBorders>
            <w:tcMar>
              <w:bottom w:w="28" w:type="dxa"/>
            </w:tcMar>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of total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left"/>
              <w:rPr/>
            </w:pPr>
            <w:r>
              <w:rPr/>
              <w:t> </w:t>
            </w:r>
          </w:p>
        </w:tc>
        <w:tc>
          <w:tcPr>
            <w:tcW w:w="46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12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46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283"/>
              <w:ind w:left="0" w:right="0" w:hanging="0"/>
              <w:jc w:val="left"/>
              <w:rPr/>
            </w:pPr>
            <w:r>
              <w:rPr/>
              <w:t> </w:t>
            </w:r>
          </w:p>
        </w:tc>
        <w:tc>
          <w:tcPr>
            <w:tcW w:w="3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12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46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5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ind w:left="0" w:right="0" w:hanging="0"/>
              <w:jc w:val="left"/>
              <w:rPr/>
            </w:pPr>
            <w:r>
              <w:rPr/>
              <w:t> </w:t>
            </w:r>
          </w:p>
        </w:tc>
        <w:tc>
          <w:tcPr>
            <w:tcW w:w="84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ind w:left="0" w:right="0" w:hanging="0"/>
              <w:jc w:val="left"/>
              <w:rPr/>
            </w:pPr>
            <w:r>
              <w:rPr/>
              <w:t> </w:t>
            </w:r>
          </w:p>
        </w:tc>
        <w:tc>
          <w:tcPr>
            <w:tcW w:w="129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4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ind w:left="0" w:right="0" w:hanging="0"/>
              <w:jc w:val="left"/>
              <w:rPr/>
            </w:pPr>
            <w:r>
              <w:rPr/>
              <w:t> </w:t>
            </w:r>
          </w:p>
        </w:tc>
        <w:tc>
          <w:tcPr>
            <w:tcW w:w="84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52"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ind w:left="0" w:right="0" w:hanging="0"/>
              <w:jc w:val="left"/>
              <w:rPr/>
            </w:pPr>
            <w:r>
              <w:rPr/>
              <w:t> </w:t>
            </w:r>
          </w:p>
        </w:tc>
        <w:tc>
          <w:tcPr>
            <w:tcW w:w="127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46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CCEEFF" w:val="clear"/>
            <w:vAlign w:val="center"/>
          </w:tcPr>
          <w:p>
            <w:pPr>
              <w:pStyle w:val="TableContents"/>
              <w:bidi w:val="0"/>
              <w:spacing w:before="0" w:after="283"/>
              <w:jc w:val="left"/>
              <w:rPr/>
            </w:pPr>
            <w:r>
              <w:rPr/>
              <w:t> </w:t>
            </w:r>
          </w:p>
        </w:tc>
        <w:tc>
          <w:tcPr>
            <w:tcW w:w="3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5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w:t>
            </w:r>
          </w:p>
        </w:tc>
        <w:tc>
          <w:tcPr>
            <w:tcW w:w="4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2" w:type="dxa"/>
            <w:tcBorders/>
            <w:shd w:fill="FFFFFF" w:val="clear"/>
            <w:vAlign w:val="center"/>
          </w:tcPr>
          <w:p>
            <w:pPr>
              <w:pStyle w:val="TableContents"/>
              <w:bidi w:val="0"/>
              <w:spacing w:before="0" w:after="283"/>
              <w:ind w:left="0" w:right="0" w:hanging="0"/>
              <w:jc w:val="left"/>
              <w:rPr/>
            </w:pPr>
            <w:r>
              <w:rPr/>
              <w:t> </w:t>
            </w:r>
          </w:p>
        </w:tc>
        <w:tc>
          <w:tcPr>
            <w:tcW w:w="3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15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Operating Expenses: </w:t>
      </w:r>
      <w:r>
        <w:rPr>
          <w:rFonts w:ascii="Times New Roman" w:hAnsi="Times New Roman"/>
          <w:caps w:val="false"/>
          <w:smallCaps w:val="false"/>
          <w:sz w:val="20"/>
        </w:rPr>
        <w:t>Our total operating expenses was approximately US$0.38 million and US$0.43 million for the six and three months ended June 30, 2026, respectively, compared with approximately US$1.47 million and US$0.73 million for the six and three months ended June 30, 2025,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General and administrative expenses was US$0.36 million and US$0.42 million for the six and three months ended June 30, 2026, respectively, compared with US$1.47 million and US$0.73 million for the six and three months ended June 30, 2025, respectively. Our general and administrative expenses primarily consist of salaries and benefits of management, accounting, human resources and administrative personnel, office rentals, depreciation of office equipment, allowance for doubtful accounts, professional service fees, maintenance, utilities and other general office expenses of our supporting and administrative departments. For the six months ended June 30, 2026, the change in our general and administrative expenses was primarily due to the following reasons: (1) the decrease in share-based compensation expenses of approximately US$0.05 million, (2) the decrease in allowance for expected credit losses of approximately US$0.86 million; and (3) the decrease in other general administrative expenses of approximately US$0.25 million, as a result of the cost reduction plan executed by the management. For the three months ended June 30, 2026, the changes in our general and administrative expenses was primarily attributable to the following reasons: (1) the increase in share-based compensation expenses of approximately US$0.10 million, (2) the decrease in other general administrative expenses of approximately US$0.15 million, as a result of the cost reduction plan executed by management; and (3) the decrease in allowance for expected credit losses of approximately US$0.29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expenses: For the six and three months ended June 31, 2026, we recognized approximately US$0.01 million and US$0.01 million in research and development expenses, respectively, compared with nil for the six and three months ended June 30, 2026. Our research and development expenses primarily consist of salaries and benefits of our staff in the research and development department, equipment depreciation expenses, and office utilities and supplies allocated to our research and development department etc. For the six and three months ended June 30, 2026, the increase in our research and development expenses was primarily due to an increase in headcount in our research and development department, compared with that for the same period last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from operations: </w:t>
      </w:r>
      <w:r>
        <w:rPr>
          <w:rFonts w:ascii="Times New Roman" w:hAnsi="Times New Roman"/>
          <w:caps w:val="false"/>
          <w:smallCaps w:val="false"/>
          <w:sz w:val="20"/>
        </w:rPr>
        <w:t>As a result of the foregoing, we incurred a loss from operations of approximately US$0.30 million and US$1.26 million for the six months ended June 30, 2026 and 2025, respectively. For the three months ended June 30, 2026 and 2025, we incurred a loss from operations of approximately US$0.38 million and US$0.68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For the six and three months ended June 30, 2026, interest income recognized was primarily related to the interest earned from the short-term loans we provided to unrelated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Loss before income tax benefit/(expense): </w:t>
      </w:r>
      <w:r>
        <w:rPr>
          <w:rFonts w:ascii="Times New Roman" w:hAnsi="Times New Roman"/>
          <w:caps w:val="false"/>
          <w:smallCaps w:val="false"/>
          <w:sz w:val="20"/>
        </w:rPr>
        <w:t>As a result of the foregoing, our loss before income tax benefit was approximately US$0.23 million and US$1.17 million for the six months ended June 30, 2026 and 2025, respectively. For the three months ended June 30, 2026, we incurred an approximately US$0.35 million loss before income tax expense, compared with an approximately US$0.64 million loss before income tax expense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Income Tax benefit/(expense):</w:t>
      </w:r>
      <w:r>
        <w:rPr>
          <w:rFonts w:ascii="Times New Roman" w:hAnsi="Times New Roman"/>
          <w:caps w:val="false"/>
          <w:smallCaps w:val="false"/>
          <w:sz w:val="20"/>
        </w:rPr>
        <w:t xml:space="preserve"> For the six months ended June 30, 2026 and 2025, we recognized approximately $0.007 million and nil, respectively, in income tax benefits. For the three months ended June 30, 2026 and 2025, we recognized approximately US$0.004 million and US$0.001 million, respectively, in income tax benefits. These benefits were related to net operating loss incurred by one of our operating VIEs during each respective period. We anticipate that these losses will likely be utilized against future earnings of this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loss: </w:t>
      </w:r>
      <w:r>
        <w:rPr>
          <w:rFonts w:ascii="Times New Roman" w:hAnsi="Times New Roman"/>
          <w:caps w:val="false"/>
          <w:smallCaps w:val="false"/>
          <w:sz w:val="20"/>
        </w:rPr>
        <w:t>As a result of the foregoing, for the six months ended June 30, 2026 and 2025, we incurred a total net loss of approximately US$0.22 million and US$1.17 million, respectively. For the three months ended June 30, 2026, we recognized a net loss of approximately US$0.35 million, compared with a net loss of approximately US$0.64 million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hanging="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00" w:right="0" w:hanging="72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Cash Transfer within Our Organization and the Related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are a Nevada holding company with operations primarily conducted in China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As we conduct our operations primarily in China through our PRC subsidiaries, VIEs and their subsidiaries, and we intend to transfer most of our cash raised from the U.S. stock market to these operating entities to support their operations and expansions,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June 30, 2026 and December 31, 2025, net assets restricted in the aggregate, which include paid-in capital and statutory reserve funds of our PRC subsidiaries, the consolidated VIEs and their subsidiaries that are included in our consolidated net assets, were approximately US$13.07 million and US$13.11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are no restrictions for the consolidated VIEs to settle the amounts owed under the VIE agreements to our WFOE. However, arrangements and transactions among affiliated entities may be subject to audit or challenge by the PRC tax authorities. If at any time the VIE agreements and the related fee structure between the consolidated VIEs and our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 To date, the VIEs have settled to our WFOE the amount owed under the VIE agreements of RMB15.25 million (approximately US$2.27 million)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do not have any present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i/>
          <w:caps w:val="false"/>
          <w:smallCaps w:val="false"/>
          <w:sz w:val="20"/>
          <w:u w:val="single"/>
        </w:rPr>
      </w:pPr>
      <w:r>
        <w:rPr>
          <w:rFonts w:ascii="Times New Roman" w:hAnsi="Times New Roman"/>
          <w:b/>
          <w:i/>
          <w:caps w:val="false"/>
          <w:smallCaps w:val="false"/>
          <w:sz w:val="20"/>
          <w:u w:val="single"/>
        </w:rPr>
        <w:t>Cash Flow Analysis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Cash and cash equivalents represent cash on hand and deposits held at call with banks. We consider all highly liquid investments with original maturities of three months or less at the time of purchase to be cash equivalents. As of June 30, 2026, we had cash and cash equivalents of approximately US$0.61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Our liquidity needs include (i) net cash used in operating activities that consists of (a) cash required to fund the initial build-out, continued expansion of our network and new services and (b) our working capital needs, which include deposits and advance payments to advertising resources providers, payment of our operating expenses and financing of our accounts receivable; and (ii) net cash used in investing activities that consist of the investment to expand technologies related to our existing and future business activities, investment to enhance the functionality of our current advertising portals for providing advertising, marketing and data services and to secure the safety of our general network, and investment to establish joint ventures with strategic partners for the development of new technologies and services. To date, we have financed our liquidity need primarily through proceeds we generated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detailed information about our net cash flow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376" w:type="dxa"/>
        <w:jc w:val="left"/>
        <w:tblInd w:w="0" w:type="dxa"/>
        <w:tblLayout w:type="fixed"/>
        <w:tblCellMar>
          <w:top w:w="0" w:type="dxa"/>
          <w:left w:w="0" w:type="dxa"/>
          <w:bottom w:w="0" w:type="dxa"/>
          <w:right w:w="0" w:type="dxa"/>
        </w:tblCellMar>
      </w:tblPr>
      <w:tblGrid>
        <w:gridCol w:w="4235"/>
        <w:gridCol w:w="60"/>
        <w:gridCol w:w="318"/>
        <w:gridCol w:w="1006"/>
        <w:gridCol w:w="202"/>
        <w:gridCol w:w="151"/>
        <w:gridCol w:w="318"/>
        <w:gridCol w:w="1006"/>
        <w:gridCol w:w="80"/>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02" w:type="dxa"/>
            <w:tcBorders>
              <w:bottom w:val="single" w:sz="2" w:space="0" w:color="000000"/>
            </w:tcBorders>
            <w:tcMar>
              <w:bottom w:w="28" w:type="dxa"/>
            </w:tcMar>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 in thousands of US dollars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2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1"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0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20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8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foreign currency exchange rate changes</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1"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51" w:type="dxa"/>
            <w:tcBorders/>
            <w:shd w:fill="CCEEFF" w:val="clear"/>
            <w:vAlign w:val="center"/>
          </w:tcPr>
          <w:p>
            <w:pPr>
              <w:pStyle w:val="TableContents"/>
              <w:bidi w:val="0"/>
              <w:spacing w:before="0" w:after="283"/>
              <w:ind w:left="0" w:right="0" w:hanging="0"/>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 xml:space="preserve">Net cash used in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our net cash used in operating activities of approximately US$0.40 million were primarily attributable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both"/>
              <w:rPr/>
            </w:pPr>
            <w:r>
              <w:rPr/>
              <w:t> </w:t>
            </w:r>
          </w:p>
        </w:tc>
        <w:tc>
          <w:tcPr>
            <w:tcW w:w="1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excluding approximately US$0.13 million of non-cash expenses of depreciation and amortizations; approximately US$0.02 million amortization of operating lease right-of-use assets, approximately US$0.24 million in share-based compensation expense, approximately US$0.18 million reversal of allowances for credit losses, approximately US$0.02 million in deferred taxes and approximately US$0.07 million non-operating income, yielded the non-cash, non-operating items excluded net loss of approximately US$0.09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80"/>
        <w:gridCol w:w="54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decreased by approximately US$0.16 million;</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80"/>
        <w:gridCol w:w="51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US$0.51 million;</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60"/>
        <w:gridCol w:w="80"/>
        <w:gridCol w:w="48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48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 payable increased by approximately US$0.01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US$0.44 million;</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80"/>
        <w:gridCol w:w="609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from customers decreased by approximately US$0.06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and operating lease liabilities decreased by approximately US$0.49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our net cash used in operating activities of approximately US$0.30 million were primarily attributable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both"/>
              <w:rPr/>
            </w:pPr>
            <w:r>
              <w:rPr/>
              <w:t> </w:t>
            </w:r>
          </w:p>
        </w:tc>
        <w:tc>
          <w:tcPr>
            <w:tcW w:w="1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excluding approximately US$0.09 million of non-cash expenses of depreciation and amortizations; approximately US$0.02 million amortization of operating lease right-of-use assets, approximately US$0.29 million in share-based compensation expense, approximately US$0.69 million allowance for credit losses and approximately US$0.10 million non-operating income, yielded the non-cash, non-operating items excluded net loss of approximately US$0.18 million.</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60"/>
        <w:gridCol w:w="245"/>
        <w:gridCol w:w="734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73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receipt of cash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60"/>
        <w:gridCol w:w="80"/>
        <w:gridCol w:w="540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decreased by approximately US$1.12 million;</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80"/>
        <w:gridCol w:w="518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60"/>
        <w:gridCol w:w="80"/>
        <w:gridCol w:w="545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 decreased by approximately US$0.001 million;</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80"/>
        <w:gridCol w:w="6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advance from customers increased by approximately US$0.18 million; and</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60"/>
        <w:gridCol w:w="80"/>
        <w:gridCol w:w="711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liabilities and taxes payable increased by approximately US$0.02 million.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245"/>
        <w:gridCol w:w="71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offset by the use from operations from changes in operating assets and liabilities such as:</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60"/>
        <w:gridCol w:w="80"/>
        <w:gridCol w:w="671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prepayment and deposit to suppliers increased by approximately US$1.03 million;</w:t>
            </w:r>
          </w:p>
        </w:tc>
      </w:tr>
    </w:tbl>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60"/>
        <w:gridCol w:w="80"/>
        <w:gridCol w:w="5930"/>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tax liabilities decreased by approximately US$0.01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80"/>
        <w:gridCol w:w="10065"/>
      </w:tblGrid>
      <w:tr>
        <w:trPr/>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accruals and operating lease liabilities decreased by approximately US$0.43 million in the aggregate, due to settlement of these operating liabilities during the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Net cash provided by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(1) we received repayment of short-term loans and interest income of approximately US$0.05 million. In the aggregate, these transactions resulted in a net cash inflow from investing activities of approximately US$0.05 million for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(1) we purchased office equipment of approximately US$0.07 million; (2) we received repayment of short-term loans and interest income of approximately US$1.12 million; and (3) we purchased intellectual property of approximately US$0.60 million through the acquisition of Rahula. In the aggregate, these transactions resulted in a net cash inflow from investing activities of approximately US$0.46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 xml:space="preserve">Net cash provided by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had no cash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44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our cash provided by financing activities included the following transactions: we received advances from investors of approximately US$0.75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00" w:right="0" w:hanging="720"/>
        <w:jc w:val="both"/>
        <w:rPr>
          <w:rFonts w:ascii="Times New Roman" w:hAnsi="Times New Roman"/>
          <w:b/>
          <w:i/>
          <w:caps w:val="false"/>
          <w:smallCaps w:val="false"/>
          <w:sz w:val="20"/>
          <w:u w:val="single"/>
        </w:rPr>
      </w:pPr>
      <w:r>
        <w:rPr>
          <w:rFonts w:ascii="Times New Roman" w:hAnsi="Times New Roman"/>
          <w:b/>
          <w:i/>
          <w:caps w:val="false"/>
          <w:smallCaps w:val="false"/>
          <w:sz w:val="20"/>
          <w:u w:val="single"/>
        </w:rPr>
        <w:t>Future Liquidity, Material Cash Requirements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future short-term liquidity needs within 12 months from the date hereof primarily include deposits and advance payments required for the purchase of online marketing resources to be distributed to our customers and payments for our operating expenses, which mainly consist of office rentals and employee salary and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current core business is to provide advertising and marketing services to small and medium enterprises (“SMEs”), which is particularly sensitive to changes in general economic conditions. In addition, in order to further develop our core business, i.e., our Internet advertising and marketing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and its intellectual property has enabled us to establish our IP services business segment. We generate revenue by licensing the intellectual property acquired through Rahula to our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September 17, 2025, CNET Technology Limited (“CNET Technology”), a wholly-owned subsidiary of ZW Data Action Technologies Inc. (the “Company”) in the British Virgin Islands, entered into a purchase agreement (the “Acquisition Agreement 1”)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acquired the Titans Equity Interests on October 21, 2025. As of the date of this report, the Company has not yet issued the 200,000 shares of common stock to the Sellers. Titans is principally engaged in providing digital marketing and advertising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28, 2025, CNET Technology entered into a purchase agreement (the “Acquisition Agreement”) with Fun Star Group INC., a British Virgin Islands company (the “Seller”) and Modest Attack Limited, a British Virgin Islands company (“Modest”), pursuant to which the Seller will sell its 9.9% equity interests in Modest (the “ Modest Equity Interests”) to CNET Technology. In consideration for the Modest Equity Interests, CNET Technology shall pay to the Seller $625,000 in cash and cause the Company to issue 150,000 shares of common stock of the Company, having a total value of $375,000 and valued at $2.50 per share, to the Seller. As of the date of this report, this transaction has not yet closed. Modest is principally engaged in providing consulting and technology development services related to the tokenization of real-world assets, including token economics design, blockchain platform development, ecosystem infrastructure support, and digital asset monitoring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June 26, 2026, CNET Technology entered into a purchase agreement with Affirm Mission Limited (“Affirm”), a British Virgin Islands company and Margo Asia Limited, a British Virgin Islands company (“Margo”), pursuant to which Affirm will sell its 8.0% equity interests in Margo (the “Margo Equity Interests”) to CNET Technology. In consideration for the Margo Equity Interests, the Purchaser shall pay to the Seller $384,000 in cash and cause the Company to issue 180,000 shares of common stock of the Company, having a total value of $216,000 and valued at $1.20 per share, to the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equity financing; (3) we plan to reduce our operating costs through optimizing the personnel structure among different offices and reduce our office leasing spaces, if needed. This may incur incremental costs related to employee layoff compensation and contract termination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firstLine="640"/>
        <w:jc w:val="both"/>
        <w:rPr>
          <w:caps w:val="false"/>
          <w:smallCaps w:val="false"/>
        </w:rPr>
      </w:pPr>
      <w:bookmarkStart w:id="15" w:name="i2ends"/>
      <w:bookmarkEnd w:id="15"/>
      <w:r>
        <w:rPr>
          <w:caps w:val="false"/>
          <w:smallCaps w:val="false"/>
        </w:rPr>
        <w:t> </w:t>
      </w:r>
      <w:r>
        <w:rPr>
          <w:rFonts w:ascii="Times New Roman" w:hAnsi="Times New Roman"/>
          <w:caps w:val="false"/>
          <w:smallCaps w:val="false"/>
          <w:sz w:val="20"/>
        </w:rPr>
        <w:t>The unaudited condensed consolidated financial statements as of June 30, 2026 have been prepared under the assumption that we will continue as a going concern, which contemplates, among other things, the realization of assets and the satisfaction of liabilities in the normal course of business over a reasonable period of time. Our ability to continue as a going concern is dependent upon our uncertain ability to increase gross profit margin and reduce operating loss from our core business and/or obtain additional equity and/or debt financing. The accompanying financial statements as of June 30, 2026 do not include any adjustments that might result from the outcome of these uncertainties. If we are unable to continue as a going concern, we may have to liquidate our assets and may receive less than the value at which those assets are carried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640"/>
        <w:jc w:val="both"/>
        <w:rPr>
          <w:caps w:val="false"/>
          <w:smallCaps w:val="false"/>
        </w:rPr>
      </w:pPr>
      <w:r>
        <w:rPr>
          <w:caps w:val="false"/>
          <w:smallCaps w:val="false"/>
        </w:rPr>
        <w:t> </w:t>
      </w:r>
      <w:r>
        <w:rPr>
          <w:rFonts w:ascii="Times New Roman" w:hAnsi="Times New Roman"/>
          <w:caps w:val="false"/>
          <w:smallCaps w:val="false"/>
          <w:sz w:val="20"/>
        </w:rPr>
        <w:t>In the long term, beyond the next 12 months, we plan to continue expanding our core Internet advertising and marketing business through acquisitions, and develop Internet advertising and marketing channels that target Internet users outside of mainland China. In addition,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w:t>
      </w: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w:t>
      </w:r>
      <w:r>
        <w:rPr>
          <w:rFonts w:ascii="Times New Roman" w:hAnsi="Times New Roman"/>
          <w:b/>
          <w:caps w:val="false"/>
          <w:smallCaps w:val="false"/>
          <w:sz w:val="20"/>
        </w:rPr>
        <w:t>Disclosure of 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In August 2022, we obtained a 9.9% equity interest in Hunan Yong Fu Xiang Health Management Co., Ltd (“Yong Fu Xiang”), through subscription of a RMB6.73 million (approximately US$0.98 million) registered capital of the entity in cash, which amount was committed to be paid up before December 31, 2065.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firstLine="720"/>
        <w:jc w:val="both"/>
        <w:rPr>
          <w:rFonts w:ascii="Times New Roman" w:hAnsi="Times New Roman"/>
          <w:caps w:val="false"/>
          <w:smallCaps w:val="false"/>
          <w:sz w:val="20"/>
        </w:rPr>
      </w:pPr>
      <w:r>
        <w:rPr>
          <w:rFonts w:ascii="Times New Roman" w:hAnsi="Times New Roman"/>
          <w:caps w:val="false"/>
          <w:smallCaps w:val="false"/>
          <w:sz w:val="20"/>
        </w:rPr>
        <w:t>In June 2023, we obtained a 9.9% equity interest in Wuhan Ju Liang, through subscription of a RMB0.99 million (approximately US$0.14 million) registered capital of the entity in cash, which amount was committed to be paid up before August 1, 2052.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6" w:name="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 to smaller reporting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0" w:right="0" w:hanging="720"/>
        <w:jc w:val="left"/>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7" w:name="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principal executive officer and principal accounting and financial officer, we conducted an evaluation of the effectiveness of our disclosure controls and procedures as of the fiscal quarter ended June 30, 2026, as such term is defined in Rules 13a-15(e) and 15d-15(e) under the Exchange Act. Based on this evaluation, our principal executive officer and principal financial officer have concluded that during the period covered by this report, the Company’s disclosure controls and procedures were effective as of such date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00"/>
        <w:jc w:val="left"/>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fiscal quarter of 2026 covered by this Quarterly Report on Form 10-Q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18" w:name="p2"/>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caps w:val="false"/>
          <w:smallCaps w:val="false"/>
          <w:sz w:val="20"/>
        </w:rPr>
        <w:t> </w:t>
      </w:r>
      <w:r>
        <w:rPr>
          <w:rFonts w:ascii="Times New Roman" w:hAnsi="Times New Roman"/>
          <w:b/>
          <w:caps w:val="false"/>
          <w:smallCaps w:val="false"/>
          <w:sz w:val="20"/>
        </w:rPr>
        <w:t>Legal Proceedings</w:t>
      </w:r>
      <w:bookmarkStart w:id="19" w:name="p2i1"/>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both"/>
        <w:rPr>
          <w:rFonts w:ascii="Times New Roman" w:hAnsi="Times New Roman"/>
          <w:caps w:val="false"/>
          <w:smallCaps w:val="false"/>
          <w:sz w:val="20"/>
        </w:rPr>
      </w:pPr>
      <w:r>
        <w:rPr>
          <w:rFonts w:ascii="Times New Roman" w:hAnsi="Times New Roman"/>
          <w:caps w:val="false"/>
          <w:smallCaps w:val="false"/>
          <w:sz w:val="20"/>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20" w:name="i1a"/>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This information has been omitted based on the Company’s status as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Unregistered Sales of Equity Securities and Use of Proceeds</w:t>
      </w:r>
      <w:bookmarkStart w:id="21" w:name="p2i2"/>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Defaults Upon Senior Securities</w:t>
      </w:r>
      <w:bookmarkStart w:id="22" w:name="p2i3"/>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23" w:name="p2i4"/>
      <w:bookmarkEnd w:id="2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firstLine="30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caps w:val="false"/>
          <w:smallCaps w:val="false"/>
          <w:sz w:val="20"/>
        </w:rPr>
        <w:t> </w:t>
      </w:r>
      <w:r>
        <w:rPr>
          <w:rFonts w:ascii="Times New Roman" w:hAnsi="Times New Roman"/>
          <w:b/>
          <w:caps w:val="false"/>
          <w:smallCaps w:val="false"/>
          <w:sz w:val="20"/>
        </w:rPr>
        <w:t>Other Information</w:t>
      </w:r>
      <w:bookmarkStart w:id="24" w:name="p2i5"/>
      <w:bookmarkEnd w:id="2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firstLine="720"/>
        <w:jc w:val="left"/>
        <w:rPr>
          <w:rFonts w:ascii="Times New Roman" w:hAnsi="Times New Roman"/>
          <w:caps w:val="false"/>
          <w:smallCaps w:val="false"/>
          <w:sz w:val="20"/>
        </w:rPr>
      </w:pPr>
      <w:r>
        <w:rPr>
          <w:rFonts w:ascii="Times New Roman" w:hAnsi="Times New Roman"/>
          <w:caps w:val="false"/>
          <w:smallCaps w:val="false"/>
          <w:sz w:val="20"/>
        </w:rPr>
        <w:t>During our fiscal quarter ended June 30, 2026, none of our directors or officers informed us of the adoption or termination of a “Rule 10b5-1 trading arrangement” or “non-Rule 10b5-1 trading arrangement” as those terms are defined in Item 408(a) of Regulation S-K.</w:t>
      </w:r>
    </w:p>
    <w:p>
      <w:pPr>
        <w:pStyle w:val="TextBody"/>
        <w:bidi w:val="0"/>
        <w:spacing w:before="0" w:after="283"/>
        <w:jc w:val="left"/>
        <w:rPr/>
      </w:pPr>
      <w:r>
        <w:rPr/>
        <w:t> </w:t>
      </w:r>
    </w:p>
    <w:p>
      <w:pPr>
        <w:pStyle w:val="TextBody"/>
        <w:bidi w:val="0"/>
        <w:spacing w:before="0" w:after="0"/>
        <w:ind w:left="30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00"/>
        <w:jc w:val="left"/>
        <w:rPr>
          <w:rFonts w:ascii="Times New Roman" w:hAnsi="Times New Roman"/>
          <w:b/>
          <w:caps w:val="false"/>
          <w:smallCaps w:val="false"/>
          <w:sz w:val="20"/>
        </w:rPr>
      </w:pPr>
      <w:r>
        <w:rPr>
          <w:rFonts w:ascii="Times New Roman" w:hAnsi="Times New Roman"/>
          <w:b/>
          <w:caps w:val="false"/>
          <w:smallCaps w:val="false"/>
          <w:sz w:val="20"/>
        </w:rPr>
        <w:t>Item 6. Exhibits</w:t>
      </w:r>
      <w:bookmarkStart w:id="25" w:name="p2i6"/>
      <w:bookmarkEnd w:id="2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00"/>
        <w:jc w:val="left"/>
        <w:rPr>
          <w:rFonts w:ascii="Times New Roman" w:hAnsi="Times New Roman"/>
          <w:caps w:val="false"/>
          <w:smallCaps w:val="false"/>
          <w:sz w:val="20"/>
        </w:rPr>
      </w:pPr>
      <w:r>
        <w:rPr>
          <w:rFonts w:ascii="Times New Roman" w:hAnsi="Times New Roman"/>
          <w:caps w:val="false"/>
          <w:smallCaps w:val="false"/>
          <w:sz w:val="20"/>
        </w:rPr>
        <w:t>The exhibits listed on the Exhibit Index below are provided as part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1"/>
        <w:gridCol w:w="60"/>
        <w:gridCol w:w="9384"/>
      </w:tblGrid>
      <w:tr>
        <w:trPr/>
        <w:tc>
          <w:tcPr>
            <w:tcW w:w="76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Document Description</w:t>
            </w:r>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pPr>
            <w:hyperlink w:anchor="ex_998233.htm">
              <w:r>
                <w:rPr>
                  <w:rStyle w:val="InternetLink"/>
                  <w:rFonts w:ascii="Times New Roman" w:hAnsi="Times New Roman"/>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998233.htm">
              <w:r>
                <w:rPr>
                  <w:rStyle w:val="InternetLink"/>
                  <w:rFonts w:ascii="Times New Roman" w:hAnsi="Times New Roman"/>
                  <w:caps w:val="false"/>
                  <w:smallCaps w:val="false"/>
                  <w:sz w:val="20"/>
                </w:rPr>
                <w:t>Certification of the Principal Executive Officer pursuant to Rule 13A-14(A)/15D-14(A) of the Securities Exchange Act of 1934, as adopted pursuant to Section 302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pPr>
            <w:hyperlink w:anchor="ex_998234.htm">
              <w:r>
                <w:rPr>
                  <w:rStyle w:val="InternetLink"/>
                  <w:rFonts w:ascii="Times New Roman" w:hAnsi="Times New Roman"/>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998234.htm">
              <w:r>
                <w:rPr>
                  <w:rStyle w:val="InternetLink"/>
                  <w:rFonts w:ascii="Times New Roman" w:hAnsi="Times New Roman"/>
                  <w:caps w:val="false"/>
                  <w:smallCaps w:val="false"/>
                  <w:sz w:val="20"/>
                </w:rPr>
                <w:t>Certification of the Principal Accounting and Financial Officer pursuant to Rule 13A-14(A)/15D-14(A) of the Securities Exchange Act of 1934, as adopted pursuant to Section 302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pPr>
            <w:hyperlink w:anchor="ex_998235.htm">
              <w:r>
                <w:rPr>
                  <w:rStyle w:val="InternetLink"/>
                  <w:rFonts w:ascii="Times New Roman" w:hAnsi="Times New Roman"/>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pPr>
            <w:hyperlink w:anchor="ex_998235.htm">
              <w:r>
                <w:rPr>
                  <w:rStyle w:val="InternetLink"/>
                  <w:rFonts w:ascii="Times New Roman" w:hAnsi="Times New Roman"/>
                  <w:caps w:val="false"/>
                  <w:smallCaps w:val="false"/>
                  <w:sz w:val="20"/>
                </w:rPr>
                <w:t>Certification of the Principal Executive Officer and of the Principal Accounting and Financial Officer pursuant to 18 U.S.C. 1350 (Section 906 of the Sarbanes-Oxley Act of 2002).</w:t>
              </w:r>
            </w:hyperlink>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materials are filed herewith: (i) Inline XBRL Instance, (ii) Inline XBRL Taxonomy Extension Schema, (iii) Inline XBRL Taxonomy Extension Calculation, (iv) XBRL Taxonomy Extension Labels, (v) XBRL Taxonomy Extension Presentation, and (vi) Inline XBRL Taxonomy Extension Definition.</w:t>
            </w:r>
          </w:p>
        </w:tc>
      </w:tr>
      <w:tr>
        <w:trPr/>
        <w:tc>
          <w:tcPr>
            <w:tcW w:w="7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283"/>
              <w:jc w:val="left"/>
              <w:rPr/>
            </w:pPr>
            <w:r>
              <w:rPr/>
              <w:t> </w:t>
            </w:r>
          </w:p>
        </w:tc>
      </w:tr>
      <w:tr>
        <w:trPr/>
        <w:tc>
          <w:tcPr>
            <w:tcW w:w="761" w:type="dxa"/>
            <w:tcBorders/>
            <w:tcMar>
              <w:bottom w:w="0" w:type="dxa"/>
            </w:tcMar>
            <w:vAlign w:val="center"/>
          </w:tcPr>
          <w:p>
            <w:pPr>
              <w:pStyle w:val="TableContents"/>
              <w:bidi w:val="0"/>
              <w:spacing w:before="0" w:after="0"/>
              <w:ind w:left="0" w:right="0" w:firstLine="10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4"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6" w:name="sig"/>
      <w:bookmarkEnd w:id="2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8079" w:type="dxa"/>
        <w:jc w:val="left"/>
        <w:tblInd w:w="0" w:type="dxa"/>
        <w:tblLayout w:type="fixed"/>
        <w:tblCellMar>
          <w:top w:w="0" w:type="dxa"/>
          <w:left w:w="0" w:type="dxa"/>
          <w:bottom w:w="0" w:type="dxa"/>
          <w:right w:w="0" w:type="dxa"/>
        </w:tblCellMar>
      </w:tblPr>
      <w:tblGrid>
        <w:gridCol w:w="1850"/>
        <w:gridCol w:w="1040"/>
        <w:gridCol w:w="5189"/>
      </w:tblGrid>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ZW DATA ACTION TECHNOLOGIES INC.</w:t>
            </w:r>
          </w:p>
        </w:tc>
      </w:tr>
      <w:tr>
        <w:trPr/>
        <w:tc>
          <w:tcPr>
            <w:tcW w:w="185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5189"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1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518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Handong Cheng</w:t>
            </w:r>
          </w:p>
        </w:tc>
      </w:tr>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Handong Cheng</w:t>
            </w:r>
          </w:p>
        </w:tc>
      </w:tr>
      <w:tr>
        <w:trPr/>
        <w:tc>
          <w:tcPr>
            <w:tcW w:w="1850" w:type="dxa"/>
            <w:tcBorders/>
            <w:vAlign w:val="center"/>
          </w:tcPr>
          <w:p>
            <w:pPr>
              <w:pStyle w:val="TableContents"/>
              <w:bidi w:val="0"/>
              <w:spacing w:before="0" w:after="283"/>
              <w:jc w:val="left"/>
              <w:rPr/>
            </w:pPr>
            <w:r>
              <w:rPr/>
              <w:t> </w:t>
            </w:r>
          </w:p>
        </w:tc>
        <w:tc>
          <w:tcPr>
            <w:tcW w:w="622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 and Acting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 and Principal Accounting and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t>43</w:t>
      </w:r>
    </w:p>
    <w:p>
      <w:pPr>
        <w:pStyle w:val="TextBody"/>
        <w:bidi w:val="0"/>
        <w:spacing w:before="0" w:after="0"/>
        <w:ind w:left="0" w:right="0" w:hanging="0"/>
        <w:jc w:val="right"/>
        <w:rPr>
          <w:rFonts w:ascii="Times New Roman" w:hAnsi="Times New Roman"/>
          <w:b/>
          <w:caps w:val="false"/>
          <w:smallCaps w:val="false"/>
          <w:sz w:val="20"/>
        </w:rPr>
      </w:pPr>
      <w:bookmarkStart w:id="27" w:name="ex_998233.htm"/>
      <w:bookmarkStart w:id="28" w:name="ksex_998233"/>
      <w:bookmarkEnd w:id="27"/>
      <w:bookmarkEnd w:id="28"/>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998234.htm"/>
      <w:bookmarkStart w:id="30" w:name="ksex_998234"/>
      <w:bookmarkEnd w:id="29"/>
      <w:bookmarkEnd w:id="30"/>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Handong Cheng,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ZW Data Action Technologies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1" w:name="ex_998235.htm"/>
      <w:bookmarkStart w:id="32" w:name="ksex_998235"/>
      <w:bookmarkEnd w:id="31"/>
      <w:bookmarkEnd w:id="32"/>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PURSUANT TO</w:t>
      </w:r>
      <w:r>
        <w:rPr>
          <w:rFonts w:ascii="Times New Roman" w:hAnsi="Times New Roman"/>
          <w:caps w:val="false"/>
          <w:smallCaps w:val="false"/>
          <w:sz w:val="20"/>
        </w:rPr>
        <w:br/>
      </w:r>
      <w:r>
        <w:rPr>
          <w:rFonts w:ascii="Times New Roman" w:hAnsi="Times New Roman"/>
          <w:b/>
          <w:caps w:val="false"/>
          <w:smallCaps w:val="false"/>
          <w:sz w:val="20"/>
        </w:rPr>
        <w:t>18 U.S.C. SECTION 1350,</w:t>
      </w:r>
      <w:r>
        <w:rPr>
          <w:rFonts w:ascii="Times New Roman" w:hAnsi="Times New Roman"/>
          <w:caps w:val="false"/>
          <w:smallCaps w:val="false"/>
          <w:sz w:val="20"/>
        </w:rPr>
        <w:br/>
      </w:r>
      <w:r>
        <w:rPr>
          <w:rFonts w:ascii="Times New Roman" w:hAnsi="Times New Roman"/>
          <w:b/>
          <w:caps w:val="false"/>
          <w:smallCaps w:val="false"/>
          <w:sz w:val="20"/>
        </w:rPr>
        <w:t>AS ADOPTED PURSUANT TO</w:t>
      </w:r>
      <w:r>
        <w:rPr>
          <w:rFonts w:ascii="Times New Roman" w:hAnsi="Times New Roman"/>
          <w:caps w:val="false"/>
          <w:smallCaps w:val="false"/>
          <w:sz w:val="20"/>
        </w:rPr>
        <w:br/>
      </w:r>
      <w:r>
        <w:rPr>
          <w:rFonts w:ascii="Times New Roman" w:hAnsi="Times New Roman"/>
          <w:b/>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Each of the undersigned hereby certifies, in his capacity as an officer of ZW Data Action Technologies Inc. (the “Company”), for the purposes of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Quarterly Report of the Company on Form 10-Q for the quarter ended June 30, 2026 fully complies with the requirements of Section 13a-14(b) or 15d-14(b)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Chief Executive Officer</w:t>
        <w:b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Handong Cheng</w:t>
      </w:r>
      <w:r>
        <w:rPr>
          <w:rFonts w:ascii="Times New Roman" w:hAnsi="Times New Roman"/>
          <w:caps w:val="false"/>
          <w:smallCaps w:val="false"/>
          <w:sz w:val="20"/>
        </w:rPr>
        <w:br/>
        <w:t>Handong Cheng</w:t>
        <w:br/>
        <w:t>Acting Chief Financial Officer</w:t>
        <w:br/>
        <w:t>(Principal Accounting and Financial Officer)</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23578</Words>
  <Characters>127706</Characters>
  <CharactersWithSpaces>155384</CharactersWithSpaces>
  <Paragraphs>9846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