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April 15,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225" w:right="319" w:bottom="1440" w:gutter="0" w:footer="0" w:header="0"/>
        </w:sectPr>
      </w:pP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20-4672080</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5" w:lineRule="exact"/>
        <w:rPr>
          <w:sz w:val="24"/>
          <w:szCs w:val="24"/>
          <w:color w:val="auto"/>
        </w:rPr>
      </w:pPr>
    </w:p>
    <w:p>
      <w:pPr>
        <w:sectPr>
          <w:pgSz w:w="11900" w:h="16838" w:orient="portrait"/>
          <w:cols w:equalWidth="0" w:num="2">
            <w:col w:w="6720" w:space="720"/>
            <w:col w:w="3820"/>
          </w:cols>
          <w:pgMar w:left="320" w:top="225" w:right="319" w:bottom="1440" w:gutter="0" w:footer="0" w:header="0"/>
          <w:type w:val="continuous"/>
        </w:sectPr>
      </w:pPr>
    </w:p>
    <w:p>
      <w:pPr>
        <w:spacing w:after="0" w:line="219" w:lineRule="exact"/>
        <w:rPr>
          <w:sz w:val="24"/>
          <w:szCs w:val="24"/>
          <w:color w:val="auto"/>
        </w:rPr>
      </w:pPr>
    </w:p>
    <w:p>
      <w:pPr>
        <w:jc w:val="center"/>
        <w:ind w:left="540" w:right="2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8/F. 29 Des Voeux Road Central, Central, Hong Kong Special Administrative Region of the People’s Republic of China </w:t>
      </w:r>
      <w:r>
        <w:rPr>
          <w:rFonts w:ascii="Times New Roman" w:cs="Times New Roman" w:eastAsia="Times New Roman" w:hAnsi="Times New Roman"/>
          <w:sz w:val="18"/>
          <w:szCs w:val="18"/>
          <w:color w:val="auto"/>
        </w:rPr>
        <w:t>(Address of Principal Executive Offices) (Zip Code)</w:t>
      </w:r>
    </w:p>
    <w:p>
      <w:pPr>
        <w:spacing w:after="0" w:line="6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 2025 Omnibus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9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42nd Street, 18th FloorNew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(800) 221 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(800) 944 6607</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Vivien Bai,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(212) 407 4000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4"/>
          <w:szCs w:val="24"/>
          <w:color w:val="auto"/>
        </w:rPr>
      </w:pPr>
    </w:p>
    <w:p>
      <w:pPr>
        <w:spacing w:after="0" w:line="20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756"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Statement is being filed by the Registrant to register 500,000 shares reserved and available for issuance pursuant to the ZW Data Action Technologies Inc. 2025 Omnibus Equity Incentive Plan adopted by the Board of Directors of the Company and approved by the Company’s shareholders at the 2025 annual shareholder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0" w:lineRule="exact"/>
        <w:rPr>
          <w:sz w:val="20"/>
          <w:szCs w:val="20"/>
          <w:color w:val="auto"/>
        </w:rPr>
      </w:pPr>
    </w:p>
    <w:p>
      <w:pPr>
        <w:spacing w:after="0" w:line="219"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18"/>
          <w:szCs w:val="18"/>
          <w:b w:val="1"/>
          <w:bCs w:val="1"/>
          <w:color w:val="010000"/>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010000"/>
        </w:rPr>
        <w:t>ITEM 2.</w:t>
      </w:r>
      <w:r>
        <w:rPr>
          <w:sz w:val="20"/>
          <w:szCs w:val="20"/>
          <w:color w:val="auto"/>
        </w:rPr>
        <w:tab/>
      </w:r>
      <w:r>
        <w:rPr>
          <w:rFonts w:ascii="Times New Roman" w:cs="Times New Roman" w:eastAsia="Times New Roman" w:hAnsi="Times New Roman"/>
          <w:sz w:val="17"/>
          <w:szCs w:val="17"/>
          <w:b w:val="1"/>
          <w:bCs w:val="1"/>
          <w:color w:val="auto"/>
        </w:rPr>
        <w:t>REGISTRANT INFORMATION AND EMPLOYEE PLAN ANNUAL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Note to Part I of Form S-8. The documents containing information specified in this Part I will be separately provided to the participants in the Plan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Registration Statement, ZW Data Action Technologies Inc. is sometimes referred to as “the Registrant”, “we”, “us” or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010000"/>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by the Registrant are incorporated herein by reference.</w:t>
      </w:r>
    </w:p>
    <w:p>
      <w:pPr>
        <w:spacing w:after="0" w:line="162" w:lineRule="exact"/>
        <w:rPr>
          <w:sz w:val="20"/>
          <w:szCs w:val="20"/>
          <w:color w:val="auto"/>
        </w:rPr>
      </w:pPr>
    </w:p>
    <w:p>
      <w:pPr>
        <w:ind w:left="720" w:hanging="712"/>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2025, filed with the SEC on March 31, 2026;</w:t>
      </w:r>
    </w:p>
    <w:p>
      <w:pPr>
        <w:spacing w:after="0" w:line="225" w:lineRule="exact"/>
        <w:rPr>
          <w:rFonts w:ascii="Times New Roman" w:cs="Times New Roman" w:eastAsia="Times New Roman" w:hAnsi="Times New Roman"/>
          <w:sz w:val="18"/>
          <w:szCs w:val="18"/>
          <w:color w:val="auto"/>
        </w:rPr>
      </w:pPr>
    </w:p>
    <w:p>
      <w:pPr>
        <w:ind w:left="720" w:right="20" w:hanging="712"/>
        <w:spacing w:after="0" w:line="282"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Registration Statement on Form 8-A (Registration No. 001-34647) filed with the SEC on September 13, 2010, pursuant to Section 12 of the Securities Exchange Act of 1934, together with any amendments or reports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720" w:hanging="712"/>
        <w:spacing w:after="0" w:line="282"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8-A (Registration No. 001-34647) filed with the SEC on March 2, 2010, pursuant to Section 12 of the Securities Exchange Act of 1934, together with any amendments or reports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720" w:hanging="712"/>
        <w:spacing w:after="0" w:line="282"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8-A (Registration No. 001-52672) filed with the SEC on June 5, 2007, pursuant to Section 12 of the Securities Exchange Act of 1934, together with any amendments or reports filed for the purpose of updating such description; and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Definitive Proxy Statement on Schedule 14A filed with the SEC on October 10, 2025.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Report or Quarterly Report to stockholders or document or Current Report furnished under current Items 2.02 or 7.01 of Form 8-K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officers and directors are indemnified as provided by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and our articles of incorporation and bylaws.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NRS, officer and director immunity from liability to a company or its stockholders for monetary liabilities applies automatically unless it is specifically limited by a company’s articles of incorporation. The NRS provides that an officer or director will not be liable for acts or omissions unless it is proven that the officer’s or director’s acts or omissions constitute a breach of fiduciary duties and such breach involved intentional misconduct, fraud, or a knowing violation of law. Our articles of incorporation provide that no director shall be liable to the Company or its stockholders for monetary damages for breach of fiduciary duty as a director; provided that the director’s liability shall not be eliminated or limited for (i) breach of any duty of loyalty to the Company or its stockholders, (ii) acts or omissions not in good faith or that involve intentional misconduct or a knowing violation of law, (iii) any transaction from which the director derived an improper personal benefit, or (iv) an act or omission occurring before the person was a director of the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provide that we will indemnify our directors, officers, employees, and agents, to the fullest extent to the extent required by the NRS, and our bylaws provide that we shall indemnify such individuals to the extent permitted by the NRS. Our bylaws also provide that we may purchase and maintain liability insurance, or make other arrangements for such obligations or otherwise, to the extent permitted by the NRS.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NRS permits us to indemnify any person who was or is a party or is threatened to be made a party to any threatened, pending, or contemplated action, suit, or proceeding, whether civil, criminal, administrative, or investigative, including an action by or on behalf of the Company, by reason of the fact that such person is or was a director, officer, employee, or agent of the Company, or is or was servicing at the request of the Company as a director, officer, employee, or agent of another entity, against expenses, including attorneys’ fees actually and reasonably incurred by such person in connection with the defense or settlement of such action, suit, or proceeding if such person has exercised his powers in good faith and with a view to the interests of the Company; or acted in good faith and in a manner that such person reasonably believed to be in or not opposed to the best interest of the Company, and with respect to any criminal action or proceeding, had no reasonable cause to believe such conduct was unlawful.</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Indemnification under the NRS may not be made for any claim, issue, or matter as to which such person has been adjudged by a court of competent jurisdiction, after exhaustion of all appeals therefrom, to be liable to the Company or for amounts paid in settlement to the Company, unless and only to the extent that the court in which the action or suit was brought or other court of competent jurisdiction determines that, in view of all the circumstances of the case, the person is fairly and reasonably entitled to indemnity for such expenses as the court deems proper.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NRS also provides that to the extent that a director, officer, employee, or agent of the Company has been successful on the merits or otherwise in defense of any action, suit, or proceeding for which the Company is permitted to provide indemnification, or in defense of any claim, issue, or matter therein, the Company is required to indemnify such person against expenses, including attorneys’ fees, actually and reasonably incurred in connection with the defense.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the NRS require the Company to advance expenses of an officer or director as incurred in defending a civil or criminal action, suit, or proceeding upon receipt of an undertaking from the officer or director to repay the amounts advanced if it is ultimately determined by a court of competent jurisdiction that the officer or director is not entitled to such indemnification.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attached Exhibit 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REQUIRED UNDERTAKINGS</w:t>
      </w:r>
    </w:p>
    <w:p>
      <w:pPr>
        <w:spacing w:after="0" w:line="229" w:lineRule="exact"/>
        <w:rPr>
          <w:sz w:val="20"/>
          <w:szCs w:val="20"/>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333" w:lineRule="exact"/>
        <w:rPr>
          <w:sz w:val="20"/>
          <w:szCs w:val="20"/>
          <w:color w:val="auto"/>
        </w:rPr>
      </w:pPr>
    </w:p>
    <w:p>
      <w:pPr>
        <w:ind w:left="720" w:hanging="712"/>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333" w:lineRule="exact"/>
        <w:rPr>
          <w:sz w:val="20"/>
          <w:szCs w:val="20"/>
          <w:color w:val="auto"/>
        </w:rPr>
      </w:pPr>
    </w:p>
    <w:p>
      <w:pPr>
        <w:ind w:left="720" w:hanging="71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333" w:lineRule="exact"/>
        <w:rPr>
          <w:rFonts w:ascii="Times New Roman" w:cs="Times New Roman" w:eastAsia="Times New Roman" w:hAnsi="Times New Roman"/>
          <w:sz w:val="18"/>
          <w:szCs w:val="18"/>
          <w:color w:val="auto"/>
        </w:rPr>
      </w:pPr>
    </w:p>
    <w:p>
      <w:pPr>
        <w:jc w:val="both"/>
        <w:ind w:left="720" w:hanging="712"/>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96" w:lineRule="exact"/>
        <w:rPr>
          <w:rFonts w:ascii="Times New Roman" w:cs="Times New Roman" w:eastAsia="Times New Roman" w:hAnsi="Times New Roman"/>
          <w:sz w:val="18"/>
          <w:szCs w:val="18"/>
          <w:color w:val="auto"/>
        </w:rPr>
      </w:pPr>
    </w:p>
    <w:p>
      <w:pPr>
        <w:ind w:left="720" w:hanging="712"/>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w:t>
      </w:r>
    </w:p>
    <w:p>
      <w:pPr>
        <w:spacing w:after="0" w:line="225" w:lineRule="exact"/>
        <w:rPr>
          <w:sz w:val="20"/>
          <w:szCs w:val="20"/>
          <w:color w:val="auto"/>
        </w:rPr>
      </w:pPr>
    </w:p>
    <w:p>
      <w:pPr>
        <w:ind w:right="40" w:firstLine="656"/>
        <w:spacing w:after="0" w:line="261" w:lineRule="auto"/>
        <w:tabs>
          <w:tab w:leader="none" w:pos="9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and (a)(1)(ii) of this section do not apply if the registration statement is on Form S-8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79" w:lineRule="exact"/>
        <w:rPr>
          <w:rFonts w:ascii="Times New Roman" w:cs="Times New Roman" w:eastAsia="Times New Roman" w:hAnsi="Times New Roman"/>
          <w:sz w:val="18"/>
          <w:szCs w:val="18"/>
          <w:color w:val="auto"/>
        </w:rPr>
      </w:pPr>
    </w:p>
    <w:p>
      <w:pPr>
        <w:ind w:right="80" w:firstLine="656"/>
        <w:spacing w:after="0" w:line="258" w:lineRule="auto"/>
        <w:tabs>
          <w:tab w:leader="none" w:pos="9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(a)(1)(ii) and (a)(1)(iii) of this section do not apply if the registration statement is on Form S-3 (§239.13 of this chapter), Form SF-3 (§239.45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3" w:lineRule="exact"/>
        <w:rPr>
          <w:rFonts w:ascii="Times New Roman" w:cs="Times New Roman" w:eastAsia="Times New Roman" w:hAnsi="Times New Roman"/>
          <w:sz w:val="18"/>
          <w:szCs w:val="18"/>
          <w:color w:val="auto"/>
        </w:rPr>
      </w:pPr>
    </w:p>
    <w:p>
      <w:pPr>
        <w:jc w:val="both"/>
        <w:ind w:right="240" w:firstLine="656"/>
        <w:spacing w:after="0" w:line="266" w:lineRule="auto"/>
        <w:tabs>
          <w:tab w:leader="none" w:pos="9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further, however, that paragraphs (a)(1)(i) and (a)(1)(ii) do not apply if the registration statement is for an offering of asset-backed securities on Form SF-1 (§239.44 of this chapter) or Form SF-3 (§239.45 of this chapter), and the information required to be included in a post-effective amendment is provided pursuant to Item 1100(c) of Regulation AB (§229.1100(c)).</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652"/>
        <w:spacing w:after="0"/>
        <w:rPr>
          <w:sz w:val="20"/>
          <w:szCs w:val="20"/>
          <w:color w:val="auto"/>
        </w:rPr>
      </w:pPr>
      <w:r>
        <w:rPr>
          <w:rFonts w:ascii="Times New Roman" w:cs="Times New Roman" w:eastAsia="Times New Roman" w:hAnsi="Times New Roman"/>
          <w:sz w:val="18"/>
          <w:szCs w:val="18"/>
          <w:color w:val="auto"/>
        </w:rPr>
        <w:t>(i) If the registrant is relying on Rule 430B (§230.430B of this chapter):</w:t>
      </w:r>
    </w:p>
    <w:p>
      <w:pPr>
        <w:spacing w:after="0" w:line="225" w:lineRule="exact"/>
        <w:rPr>
          <w:sz w:val="20"/>
          <w:szCs w:val="20"/>
          <w:color w:val="auto"/>
        </w:rPr>
      </w:pPr>
    </w:p>
    <w:p>
      <w:pPr>
        <w:ind w:left="-8" w:right="840" w:firstLine="656"/>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8" w:firstLine="656"/>
        <w:spacing w:after="0" w:line="253" w:lineRule="auto"/>
        <w:tabs>
          <w:tab w:leader="none" w:pos="9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2" w:lineRule="exact"/>
        <w:rPr>
          <w:sz w:val="20"/>
          <w:szCs w:val="20"/>
          <w:color w:val="auto"/>
        </w:rPr>
      </w:pPr>
    </w:p>
    <w:p>
      <w:pPr>
        <w:ind w:left="-8" w:right="40" w:firstLine="656"/>
        <w:spacing w:after="0" w:line="255" w:lineRule="auto"/>
        <w:tabs>
          <w:tab w:leader="none" w:pos="9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§230.430D of this chapter:</w:t>
      </w:r>
    </w:p>
    <w:p>
      <w:pPr>
        <w:spacing w:after="0" w:line="225" w:lineRule="exact"/>
        <w:rPr>
          <w:sz w:val="20"/>
          <w:szCs w:val="20"/>
          <w:color w:val="auto"/>
        </w:rPr>
      </w:pPr>
    </w:p>
    <w:p>
      <w:pPr>
        <w:ind w:left="-8" w:right="660" w:firstLine="656"/>
        <w:spacing w:after="0" w:line="282" w:lineRule="auto"/>
        <w:tabs>
          <w:tab w:leader="none" w:pos="9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§230.424(b)(3) and (h) of this chapter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8" w:firstLine="656"/>
        <w:spacing w:after="0" w:line="253" w:lineRule="auto"/>
        <w:tabs>
          <w:tab w:leader="none" w:pos="92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§230.424(b)(2), (b)(5), or (b)(7) of this chapter as part of a registration statement in reliance on §230.430D of this chapter relating to an offering made pursuant to §230.415(a)(1)(vii) or (a)(1)(xii) of this chapter for the purpose of providing the information required by section 10(a) of the Securities Act of 1933 (15 U.S.C. 77j(a)) shall be deemed to be part of and included in the registration statement as of the earlier of the date such form of prospectus is first used after effectiveness or the date of the first contract of sale of securities in the offering described in the prospectus. As provided in §230.430D of this chapter,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1" w:lineRule="exact"/>
        <w:rPr>
          <w:rFonts w:ascii="Times New Roman" w:cs="Times New Roman" w:eastAsia="Times New Roman" w:hAnsi="Times New Roman"/>
          <w:sz w:val="18"/>
          <w:szCs w:val="18"/>
          <w:color w:val="auto"/>
        </w:rPr>
      </w:pPr>
    </w:p>
    <w:p>
      <w:pPr>
        <w:ind w:left="-8" w:right="700" w:firstLine="8"/>
        <w:spacing w:after="0" w:line="282"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0" w:name="page11"/>
    <w:bookmarkEnd w:id="10"/>
    <w:p>
      <w:pPr>
        <w:ind w:right="2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right="600" w:firstLine="656"/>
        <w:spacing w:after="0" w:line="282" w:lineRule="auto"/>
        <w:tabs>
          <w:tab w:leader="none" w:pos="8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(§230.424 of this chapter);</w:t>
      </w:r>
    </w:p>
    <w:p>
      <w:pPr>
        <w:spacing w:after="0" w:line="161" w:lineRule="exact"/>
        <w:rPr>
          <w:rFonts w:ascii="Times New Roman" w:cs="Times New Roman" w:eastAsia="Times New Roman" w:hAnsi="Times New Roman"/>
          <w:sz w:val="18"/>
          <w:szCs w:val="18"/>
          <w:color w:val="auto"/>
        </w:rPr>
      </w:pPr>
    </w:p>
    <w:p>
      <w:pPr>
        <w:ind w:right="660" w:firstLine="656"/>
        <w:spacing w:after="0" w:line="282" w:lineRule="auto"/>
        <w:tabs>
          <w:tab w:leader="none" w:pos="9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4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§230.430D of this chapter, with respect to any offering of securities registered on Form SF-3 (§239.45 of this chapter), to file the information previously omitted from the prospectus filed as part of an effective registration statement in accordance with §§230.424(h) and 230.430D of this chapter.</w:t>
      </w:r>
    </w:p>
    <w:p>
      <w:pPr>
        <w:spacing w:after="0" w:line="176" w:lineRule="exact"/>
        <w:rPr>
          <w:sz w:val="20"/>
          <w:szCs w:val="20"/>
          <w:color w:val="auto"/>
        </w:rPr>
      </w:pPr>
    </w:p>
    <w:p>
      <w:pPr>
        <w:jc w:val="both"/>
        <w:ind w:left="720" w:hanging="712"/>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91" w:lineRule="exact"/>
        <w:rPr>
          <w:sz w:val="20"/>
          <w:szCs w:val="20"/>
          <w:color w:val="auto"/>
        </w:rPr>
      </w:pPr>
    </w:p>
    <w:p>
      <w:pPr>
        <w:jc w:val="both"/>
        <w:ind w:left="720" w:hanging="712"/>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April 15, 2026.</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25"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Handong Cheng</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191"/>
        </w:trPr>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988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Handong Cheng</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Chief Executive Officer, Acting Chief Financial Officer and President</w:t>
            </w:r>
          </w:p>
        </w:tc>
      </w:tr>
      <w:tr>
        <w:trPr>
          <w:trHeight w:val="432"/>
        </w:trPr>
        <w:tc>
          <w:tcPr>
            <w:tcW w:w="640" w:type="dxa"/>
            <w:vAlign w:val="bottom"/>
          </w:tcPr>
          <w:p>
            <w:pPr>
              <w:spacing w:after="0"/>
              <w:rPr>
                <w:sz w:val="24"/>
                <w:szCs w:val="24"/>
                <w:color w:val="auto"/>
              </w:rPr>
            </w:pPr>
          </w:p>
        </w:tc>
        <w:tc>
          <w:tcPr>
            <w:tcW w:w="98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Handong Cheng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substitute or substitutes, may lawfully do or cause to be done by virtue hereof.</w:t>
      </w:r>
    </w:p>
    <w:p>
      <w:pPr>
        <w:spacing w:after="0" w:line="189" w:lineRule="exact"/>
        <w:rPr>
          <w:sz w:val="20"/>
          <w:szCs w:val="20"/>
          <w:color w:val="auto"/>
        </w:rPr>
      </w:pPr>
    </w:p>
    <w:p>
      <w:pPr>
        <w:ind w:right="12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and in the capacities and on the dates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Handong Cheng</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Handong Cheng</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 (Principal Executive Officer)</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Handong Cheng</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Handong Cheng</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 (Principal Accounting Officer)</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Kai Chu</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Kai Chu</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Chang Qiu</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 Qiu</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Zhiqing Chen</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Zhiqing Chen</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Chung Wang Yiu (Ron)</w:t>
            </w:r>
          </w:p>
        </w:tc>
      </w:tr>
      <w:tr>
        <w:trPr>
          <w:trHeight w:val="191"/>
        </w:trPr>
        <w:tc>
          <w:tcPr>
            <w:tcW w:w="2320" w:type="dxa"/>
            <w:vAlign w:val="bottom"/>
          </w:tcPr>
          <w:p>
            <w:pPr>
              <w:spacing w:after="0"/>
              <w:rPr>
                <w:sz w:val="16"/>
                <w:szCs w:val="16"/>
                <w:color w:val="auto"/>
              </w:rPr>
            </w:pPr>
          </w:p>
        </w:tc>
        <w:tc>
          <w:tcPr>
            <w:tcW w:w="8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Chung Wang Yiu (Ron)</w:t>
            </w:r>
          </w:p>
        </w:tc>
      </w:tr>
      <w:tr>
        <w:trPr>
          <w:trHeight w:val="234"/>
        </w:trPr>
        <w:tc>
          <w:tcPr>
            <w:tcW w:w="23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Fernando Chen 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5606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Chen I-Ting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Justin Tam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6064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1600" w:space="720"/>
            <w:col w:w="8920"/>
          </w:cols>
          <w:pgMar w:left="320" w:top="576" w:right="33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8"/>
        </w:trPr>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8"/>
              </w:rPr>
              <w:t>Opinion of Fennemore Craig, P.C.</w:t>
            </w:r>
          </w:p>
        </w:tc>
        <w:tc>
          <w:tcPr>
            <w:tcW w:w="7620" w:type="dxa"/>
            <w:vAlign w:val="bottom"/>
            <w:gridSpan w:val="5"/>
          </w:tcPr>
          <w:p>
            <w:pPr>
              <w:spacing w:after="0"/>
              <w:rPr>
                <w:sz w:val="14"/>
                <w:szCs w:val="14"/>
                <w:color w:val="auto"/>
              </w:rPr>
            </w:pPr>
          </w:p>
        </w:tc>
      </w:tr>
      <w:tr>
        <w:trPr>
          <w:trHeight w:val="196"/>
        </w:trPr>
        <w:tc>
          <w:tcPr>
            <w:tcW w:w="280" w:type="dxa"/>
            <w:vAlign w:val="bottom"/>
          </w:tcPr>
          <w:p>
            <w:pPr>
              <w:spacing w:after="0" w:line="196" w:lineRule="exact"/>
              <w:rPr>
                <w:rFonts w:ascii="Times New Roman" w:cs="Times New Roman" w:eastAsia="Times New Roman" w:hAnsi="Times New Roman"/>
                <w:sz w:val="18"/>
                <w:szCs w:val="18"/>
                <w:color w:val="0000EE"/>
                <w:w w:val="76"/>
              </w:rPr>
            </w:pPr>
            <w:hyperlink r:id="rId22">
              <w:r>
                <w:rPr>
                  <w:rFonts w:ascii="Times New Roman" w:cs="Times New Roman" w:eastAsia="Times New Roman" w:hAnsi="Times New Roman"/>
                  <w:sz w:val="18"/>
                  <w:szCs w:val="18"/>
                  <w:color w:val="0000EE"/>
                  <w:w w:val="76"/>
                </w:rPr>
                <w:t>10.</w:t>
              </w:r>
              <w:r>
                <w:rPr>
                  <w:rFonts w:ascii="Times New Roman" w:cs="Times New Roman" w:eastAsia="Times New Roman" w:hAnsi="Times New Roman"/>
                  <w:sz w:val="18"/>
                  <w:szCs w:val="18"/>
                  <w:u w:val="single" w:color="auto"/>
                  <w:color w:val="0000EE"/>
                  <w:w w:val="76"/>
                </w:rPr>
                <w:t>1</w:t>
              </w:r>
            </w:hyperlink>
          </w:p>
        </w:tc>
        <w:tc>
          <w:tcPr>
            <w:tcW w:w="800" w:type="dxa"/>
            <w:vAlign w:val="bottom"/>
          </w:tcPr>
          <w:p>
            <w:pPr>
              <w:spacing w:after="0"/>
              <w:rPr>
                <w:sz w:val="17"/>
                <w:szCs w:val="17"/>
                <w:color w:val="auto"/>
              </w:rPr>
            </w:pPr>
          </w:p>
        </w:tc>
        <w:tc>
          <w:tcPr>
            <w:tcW w:w="10160" w:type="dxa"/>
            <w:vAlign w:val="bottom"/>
            <w:gridSpan w:val="8"/>
          </w:tcPr>
          <w:p>
            <w:pPr>
              <w:ind w:left="8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ZW Data Action Technologies Inc. 2025 Omnibus Equity Incentive Plan (1)</w:t>
              </w:r>
            </w:hyperlink>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76"/>
              </w:rPr>
              <w:t>23.</w:t>
            </w:r>
            <w:r>
              <w:rPr>
                <w:rFonts w:ascii="Times New Roman" w:cs="Times New Roman" w:eastAsia="Times New Roman" w:hAnsi="Times New Roman"/>
                <w:sz w:val="18"/>
                <w:szCs w:val="18"/>
                <w:u w:val="single" w:color="auto"/>
                <w:color w:val="0000EE"/>
                <w:w w:val="76"/>
              </w:rPr>
              <w:t>1</w:t>
            </w:r>
          </w:p>
        </w:tc>
        <w:tc>
          <w:tcPr>
            <w:tcW w:w="800" w:type="dxa"/>
            <w:vAlign w:val="bottom"/>
          </w:tcPr>
          <w:p>
            <w:pPr>
              <w:spacing w:after="0"/>
              <w:rPr>
                <w:sz w:val="17"/>
                <w:szCs w:val="17"/>
                <w:color w:val="auto"/>
              </w:rPr>
            </w:pPr>
          </w:p>
        </w:tc>
        <w:tc>
          <w:tcPr>
            <w:tcW w:w="1016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18"/>
                <w:szCs w:val="18"/>
                <w:color w:val="0000EE"/>
              </w:rPr>
              <w:t>Consent of Fennemore Craig, P.C. (contained in Exhibit 5.1)</w:t>
            </w: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76"/>
              </w:rPr>
              <w:t>23.</w:t>
            </w:r>
            <w:r>
              <w:rPr>
                <w:rFonts w:ascii="Times New Roman" w:cs="Times New Roman" w:eastAsia="Times New Roman" w:hAnsi="Times New Roman"/>
                <w:sz w:val="18"/>
                <w:szCs w:val="18"/>
                <w:u w:val="single" w:color="auto"/>
                <w:color w:val="0000EE"/>
                <w:w w:val="76"/>
              </w:rPr>
              <w:t>2</w:t>
            </w:r>
          </w:p>
        </w:tc>
        <w:tc>
          <w:tcPr>
            <w:tcW w:w="800" w:type="dxa"/>
            <w:vAlign w:val="bottom"/>
          </w:tcPr>
          <w:p>
            <w:pPr>
              <w:spacing w:after="0"/>
              <w:rPr>
                <w:sz w:val="17"/>
                <w:szCs w:val="17"/>
                <w:color w:val="auto"/>
              </w:rPr>
            </w:pPr>
          </w:p>
        </w:tc>
        <w:tc>
          <w:tcPr>
            <w:tcW w:w="1016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18"/>
                <w:szCs w:val="18"/>
                <w:color w:val="0000EE"/>
              </w:rPr>
              <w:t>Consent of ARK PRO CPA &amp; Co., Independent Registered Public Accounting Firm</w:t>
            </w: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76"/>
              </w:rPr>
              <w:t>24.</w:t>
            </w:r>
            <w:r>
              <w:rPr>
                <w:rFonts w:ascii="Times New Roman" w:cs="Times New Roman" w:eastAsia="Times New Roman" w:hAnsi="Times New Roman"/>
                <w:sz w:val="18"/>
                <w:szCs w:val="18"/>
                <w:u w:val="single" w:color="auto"/>
                <w:color w:val="0000EE"/>
                <w:w w:val="76"/>
              </w:rPr>
              <w:t>1</w:t>
            </w:r>
          </w:p>
        </w:tc>
        <w:tc>
          <w:tcPr>
            <w:tcW w:w="800" w:type="dxa"/>
            <w:vAlign w:val="bottom"/>
          </w:tcPr>
          <w:p>
            <w:pPr>
              <w:spacing w:after="0"/>
              <w:rPr>
                <w:sz w:val="17"/>
                <w:szCs w:val="17"/>
                <w:color w:val="auto"/>
              </w:rPr>
            </w:pPr>
          </w:p>
        </w:tc>
        <w:tc>
          <w:tcPr>
            <w:tcW w:w="1016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18"/>
                <w:szCs w:val="18"/>
                <w:color w:val="0000EE"/>
              </w:rPr>
              <w:t>Power of Attorney (included in the signature page)</w:t>
            </w: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107</w:t>
            </w:r>
          </w:p>
        </w:tc>
        <w:tc>
          <w:tcPr>
            <w:tcW w:w="800" w:type="dxa"/>
            <w:vAlign w:val="bottom"/>
          </w:tcPr>
          <w:p>
            <w:pPr>
              <w:spacing w:after="0"/>
              <w:rPr>
                <w:sz w:val="17"/>
                <w:szCs w:val="17"/>
                <w:color w:val="auto"/>
              </w:rPr>
            </w:pPr>
          </w:p>
        </w:tc>
        <w:tc>
          <w:tcPr>
            <w:tcW w:w="1016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18"/>
                <w:szCs w:val="18"/>
                <w:color w:val="0000EE"/>
              </w:rPr>
              <w:t>Calculation of Filing Fee Table</w:t>
            </w: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(1)Previously filed as Appendix A to our Proxy Statement on Schedule 14A filed with the SEC on October 10, 2025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156845</wp:posOffset>
            </wp:positionV>
            <wp:extent cx="825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72898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156845</wp:posOffset>
            </wp:positionV>
            <wp:extent cx="107124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0712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9275 W. Russell Road, Suite 240</w:t>
      </w:r>
    </w:p>
    <w:p>
      <w:pPr>
        <w:ind w:left="8220"/>
        <w:spacing w:after="0" w:line="226" w:lineRule="auto"/>
        <w:rPr>
          <w:sz w:val="20"/>
          <w:szCs w:val="20"/>
          <w:color w:val="auto"/>
        </w:rPr>
      </w:pPr>
      <w:r>
        <w:rPr>
          <w:rFonts w:ascii="Times New Roman" w:cs="Times New Roman" w:eastAsia="Times New Roman" w:hAnsi="Times New Roman"/>
          <w:sz w:val="14"/>
          <w:szCs w:val="14"/>
          <w:color w:val="auto"/>
        </w:rPr>
        <w:t>Las Vegas, Nevada 89148</w:t>
      </w:r>
    </w:p>
    <w:p>
      <w:pPr>
        <w:ind w:left="8220"/>
        <w:spacing w:after="0" w:line="222" w:lineRule="auto"/>
        <w:rPr>
          <w:sz w:val="20"/>
          <w:szCs w:val="20"/>
          <w:color w:val="auto"/>
        </w:rPr>
      </w:pPr>
      <w:r>
        <w:rPr>
          <w:rFonts w:ascii="Times New Roman" w:cs="Times New Roman" w:eastAsia="Times New Roman" w:hAnsi="Times New Roman"/>
          <w:sz w:val="14"/>
          <w:szCs w:val="14"/>
          <w:color w:val="auto"/>
        </w:rPr>
        <w:t>PH (702) 692-8026 | FX (702) 692-8075</w:t>
      </w:r>
    </w:p>
    <w:p>
      <w:pPr>
        <w:ind w:left="8220"/>
        <w:spacing w:after="0"/>
        <w:rPr>
          <w:sz w:val="20"/>
          <w:szCs w:val="20"/>
          <w:color w:val="auto"/>
        </w:rPr>
      </w:pPr>
      <w:r>
        <w:rPr>
          <w:rFonts w:ascii="Times New Roman" w:cs="Times New Roman" w:eastAsia="Times New Roman" w:hAnsi="Times New Roman"/>
          <w:sz w:val="14"/>
          <w:szCs w:val="14"/>
          <w:color w:val="auto"/>
        </w:rPr>
        <w:t>fennemorelaw.com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15,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8/F. 29 Des Voeux Road Central, Central,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Special Administrative Region of the People’s Republic of China</w:t>
      </w:r>
    </w:p>
    <w:p>
      <w:pPr>
        <w:spacing w:after="0" w:line="20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ZW Data Action Technologies Inc./Registration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Nevada counsel to ZW Data Action Technologies Inc., a Nevada corporation (the “Company”), in connection with the registration by the Company of 500,000 shares (the “Shares”) of its common stock, $0.001 par value per share (the “Common Stock”) on Form S-8 (the “Registration Statement”) under the Securities Act of 1933, as amended (“Securities Act”), as filed with the Securities and Exchange Commission (“Commission”). The Shares may be or have been issued pursuant to the Company’s 2025 Omnibus Equity Incentive Plan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of:</w:t>
      </w:r>
    </w:p>
    <w:p>
      <w:pPr>
        <w:spacing w:after="0" w:line="225" w:lineRule="exact"/>
        <w:rPr>
          <w:sz w:val="20"/>
          <w:szCs w:val="20"/>
          <w:color w:val="auto"/>
        </w:rPr>
      </w:pPr>
    </w:p>
    <w:p>
      <w:pPr>
        <w:ind w:left="1220" w:hanging="564"/>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grant documents for awards under the Plan;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the Board of Directors and stockholders of the Company relating to the adoption of the Plan and such other matters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and agents of the Company and from public officials, and have relied upon, such certificates, representations, and assurances as we have deemed necessary and appropriate for purposes of rendering this opinion letter. We have also examined such other corporate charter and other documents, records, certificates, and instruments (collectively with the documents identified in (a) through (d) above, the “Documents”) as we deem necessary or advisable to render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8572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ZW Data Action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1540" w:hanging="88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and competency of all natural persons executing the Documents;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authenticity of all Documents submitted to us as originals, and the conformity to original documents of all Documents submitted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 as copies;</w:t>
      </w:r>
    </w:p>
    <w:p>
      <w:pPr>
        <w:spacing w:after="0" w:line="206" w:lineRule="exact"/>
        <w:rPr>
          <w:rFonts w:ascii="Times New Roman" w:cs="Times New Roman" w:eastAsia="Times New Roman" w:hAnsi="Times New Roman"/>
          <w:sz w:val="17"/>
          <w:szCs w:val="17"/>
          <w:color w:val="auto"/>
        </w:rPr>
      </w:pPr>
    </w:p>
    <w:p>
      <w:pPr>
        <w:ind w:left="1880" w:hanging="1224"/>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thereunder;</w:t>
      </w:r>
    </w:p>
    <w:p>
      <w:pPr>
        <w:spacing w:after="0" w:line="20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Documents are enforceable in accordance with their terms with respect to all parties thereto;</w:t>
      </w:r>
    </w:p>
    <w:p>
      <w:pPr>
        <w:spacing w:after="0" w:line="225" w:lineRule="exact"/>
        <w:rPr>
          <w:rFonts w:ascii="Times New Roman" w:cs="Times New Roman" w:eastAsia="Times New Roman" w:hAnsi="Times New Roman"/>
          <w:sz w:val="18"/>
          <w:szCs w:val="18"/>
          <w:color w:val="auto"/>
        </w:rPr>
      </w:pPr>
    </w:p>
    <w:p>
      <w:pPr>
        <w:ind w:left="1680" w:hanging="1024"/>
        <w:spacing w:after="0"/>
        <w:tabs>
          <w:tab w:leader="none" w:pos="1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of any Shares, the Company validly exists and is duly qualified and in good standing under the laws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 and</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5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execution and delivery by all parties of the Documents.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set forth below, we have also assumed that:</w:t>
      </w:r>
    </w:p>
    <w:p>
      <w:pPr>
        <w:spacing w:after="0" w:line="225" w:lineRule="exact"/>
        <w:rPr>
          <w:sz w:val="20"/>
          <w:szCs w:val="20"/>
          <w:color w:val="auto"/>
        </w:rPr>
      </w:pPr>
    </w:p>
    <w:p>
      <w:pPr>
        <w:ind w:left="1220" w:hanging="564"/>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time of issuance and delivery, the Shares will be registered by the transfer agent and registrar of such Shares;</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reserved a sufficient number of shares of its Common Stock to satisfy its obligations for issuances of Shares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7" w:lineRule="exact"/>
        <w:rPr>
          <w:sz w:val="20"/>
          <w:szCs w:val="20"/>
          <w:color w:val="auto"/>
        </w:rPr>
      </w:pPr>
    </w:p>
    <w:p>
      <w:pPr>
        <w:ind w:firstLine="656"/>
        <w:spacing w:after="0" w:line="282" w:lineRule="auto"/>
        <w:tabs>
          <w:tab w:leader="none" w:pos="12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any of the Shares, the total number of shares of the Company’s Common Stock issued and outstanding will not exceed the total number of shares of Common Stock that the Company is then authorized to issue under its charter documents;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grant, stock option, or other security exercisable or exchangeable for a Share under the Plan has been, or will be, duly authorized, validly granted, and duly exercised or exchanged in accordance with the terms of the Plan, at the time of any grant of a Share or exercise of such stock option or other security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8572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ZW Data Action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limitations and qualifications set forth herein, we are of the opinion that:</w:t>
      </w:r>
    </w:p>
    <w:p>
      <w:pPr>
        <w:spacing w:after="0" w:line="162" w:lineRule="exact"/>
        <w:rPr>
          <w:sz w:val="20"/>
          <w:szCs w:val="20"/>
          <w:color w:val="auto"/>
        </w:rPr>
      </w:pPr>
    </w:p>
    <w:p>
      <w:pPr>
        <w:ind w:left="1220" w:hanging="564"/>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that have been or may be issued under the Plan are duly authorized shares of the Company’s Common Stock;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and when issued against receipt of the consideration therefor in accordance with the provisions of the Plan and in accordance with the Registration Statement, the Shares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FENNEMORE CRAIG, P.C.</w:t>
      </w:r>
    </w:p>
    <w:p>
      <w:pPr>
        <w:sectPr>
          <w:pgSz w:w="11900" w:h="16838" w:orient="portrait"/>
          <w:cols w:equalWidth="0" w:num="1">
            <w:col w:w="11240"/>
          </w:cols>
          <w:pgMar w:left="320" w:top="66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168275</wp:posOffset>
            </wp:positionV>
            <wp:extent cx="6840855" cy="840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408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ZW Data Action Technologies Inc. (“the Company”) on Form S-8 of our report dated March 31, 2026, with respect to our audits of the consolidated financial statements of the Company as at December 31, 2025 and 2024 and for each of the two years in the period ended December 31, 2025, which report is included in the Annual Report on Form 10-K (File No. 001-34647, filed with the SEC on March 31, 2026) of the Company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ARK Pro CPA &amp;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 PRO CPA &amp;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Firm ID: 3299</w:t>
      </w:r>
    </w:p>
    <w:p>
      <w:pPr>
        <w:sectPr>
          <w:pgSz w:w="11900" w:h="16838" w:orient="portrait"/>
          <w:cols w:equalWidth="0" w:num="1">
            <w:col w:w="11240"/>
          </w:cols>
          <w:pgMar w:left="320" w:top="10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5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Calculation of Filing Fee Tables</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S-8</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ZW Data Action Technologies Inc.</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Table 1: Newly Registered Securities</w:t>
      </w:r>
    </w:p>
    <w:p>
      <w:pPr>
        <w:spacing w:after="0" w:line="40"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shd w:val="clear" w:color="auto" w:fill="9ADAF6"/>
          </w:tcPr>
          <w:p>
            <w:pPr>
              <w:jc w:val="center"/>
              <w:spacing w:after="0" w:line="193" w:lineRule="exact"/>
              <w:rPr>
                <w:sz w:val="20"/>
                <w:szCs w:val="20"/>
                <w:color w:val="auto"/>
              </w:rPr>
            </w:pPr>
            <w:r>
              <w:rPr>
                <w:rFonts w:ascii="Arial" w:cs="Arial" w:eastAsia="Arial" w:hAnsi="Arial"/>
                <w:sz w:val="18"/>
                <w:szCs w:val="18"/>
                <w:b w:val="1"/>
                <w:bCs w:val="1"/>
                <w:color w:val="auto"/>
              </w:rPr>
              <w:t>Proposed</w:t>
            </w:r>
          </w:p>
        </w:tc>
        <w:tc>
          <w:tcPr>
            <w:tcW w:w="20" w:type="dxa"/>
            <w:vAlign w:val="bottom"/>
          </w:tcPr>
          <w:p>
            <w:pPr>
              <w:spacing w:after="0"/>
              <w:rPr>
                <w:sz w:val="16"/>
                <w:szCs w:val="16"/>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4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8"/>
                <w:szCs w:val="8"/>
                <w:color w:val="auto"/>
              </w:rPr>
            </w:pPr>
          </w:p>
        </w:tc>
        <w:tc>
          <w:tcPr>
            <w:tcW w:w="980" w:type="dxa"/>
            <w:vAlign w:val="bottom"/>
            <w:vMerge w:val="restart"/>
            <w:shd w:val="clear" w:color="auto" w:fill="9ADAF6"/>
          </w:tcPr>
          <w:p>
            <w:pPr>
              <w:ind w:left="140"/>
              <w:spacing w:after="0"/>
              <w:rPr>
                <w:sz w:val="20"/>
                <w:szCs w:val="20"/>
                <w:color w:val="auto"/>
              </w:rPr>
            </w:pPr>
            <w:r>
              <w:rPr>
                <w:rFonts w:ascii="Arial" w:cs="Arial" w:eastAsia="Arial" w:hAnsi="Arial"/>
                <w:sz w:val="18"/>
                <w:szCs w:val="18"/>
                <w:b w:val="1"/>
                <w:bCs w:val="1"/>
                <w:color w:val="auto"/>
              </w:rPr>
              <w:t>Security</w:t>
            </w:r>
          </w:p>
        </w:tc>
        <w:tc>
          <w:tcPr>
            <w:tcW w:w="4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right"/>
              <w:ind w:right="76"/>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8"/>
                <w:szCs w:val="8"/>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8"/>
                <w:szCs w:val="8"/>
                <w:color w:val="auto"/>
              </w:rPr>
            </w:pPr>
          </w:p>
        </w:tc>
        <w:tc>
          <w:tcPr>
            <w:tcW w:w="16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vMerge w:val="restart"/>
            <w:shd w:val="clear" w:color="auto" w:fill="9ADAF6"/>
          </w:tcPr>
          <w:p>
            <w:pPr>
              <w:jc w:val="right"/>
              <w:ind w:right="276"/>
              <w:spacing w:after="0"/>
              <w:rPr>
                <w:sz w:val="20"/>
                <w:szCs w:val="20"/>
                <w:color w:val="auto"/>
              </w:rPr>
            </w:pPr>
            <w:r>
              <w:rPr>
                <w:rFonts w:ascii="Arial" w:cs="Arial" w:eastAsia="Arial" w:hAnsi="Arial"/>
                <w:sz w:val="18"/>
                <w:szCs w:val="18"/>
                <w:b w:val="1"/>
                <w:bCs w:val="1"/>
                <w:color w:val="auto"/>
              </w:rPr>
              <w:t>Amount of</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rPr>
              <w:t>Calculation</w:t>
            </w: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rPr>
              <w:t>Fee Rate</w:t>
            </w:r>
          </w:p>
        </w:tc>
        <w:tc>
          <w:tcPr>
            <w:tcW w:w="40" w:type="dxa"/>
            <w:vAlign w:val="bottom"/>
          </w:tcPr>
          <w:p>
            <w:pPr>
              <w:spacing w:after="0"/>
              <w:rPr>
                <w:sz w:val="15"/>
                <w:szCs w:val="15"/>
                <w:color w:val="auto"/>
              </w:rPr>
            </w:pPr>
          </w:p>
        </w:tc>
        <w:tc>
          <w:tcPr>
            <w:tcW w:w="1620" w:type="dxa"/>
            <w:vAlign w:val="bottom"/>
            <w:vMerge w:val="continue"/>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tcBorders>
              <w:left w:val="single" w:sz="8" w:color="auto"/>
            </w:tcBorders>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1"/>
                <w:szCs w:val="11"/>
                <w:color w:val="auto"/>
              </w:rPr>
            </w:pPr>
          </w:p>
        </w:tc>
        <w:tc>
          <w:tcPr>
            <w:tcW w:w="980" w:type="dxa"/>
            <w:vAlign w:val="bottom"/>
            <w:shd w:val="clear" w:color="auto" w:fill="9ADAF6"/>
          </w:tcPr>
          <w:p>
            <w:pPr>
              <w:ind w:left="40"/>
              <w:spacing w:after="0" w:line="130" w:lineRule="exact"/>
              <w:rPr>
                <w:sz w:val="20"/>
                <w:szCs w:val="20"/>
                <w:color w:val="auto"/>
              </w:rPr>
            </w:pPr>
            <w:r>
              <w:rPr>
                <w:rFonts w:ascii="Arial" w:cs="Arial" w:eastAsia="Arial" w:hAnsi="Arial"/>
                <w:sz w:val="15"/>
                <w:szCs w:val="15"/>
                <w:b w:val="1"/>
                <w:bCs w:val="1"/>
                <w:color w:val="auto"/>
              </w:rPr>
              <w:t>Class Title</w:t>
            </w:r>
          </w:p>
        </w:tc>
        <w:tc>
          <w:tcPr>
            <w:tcW w:w="40" w:type="dxa"/>
            <w:vAlign w:val="bottom"/>
          </w:tcPr>
          <w:p>
            <w:pPr>
              <w:spacing w:after="0"/>
              <w:rPr>
                <w:sz w:val="11"/>
                <w:szCs w:val="11"/>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Rule</w:t>
            </w:r>
          </w:p>
        </w:tc>
        <w:tc>
          <w:tcPr>
            <w:tcW w:w="20" w:type="dxa"/>
            <w:vAlign w:val="bottom"/>
          </w:tcPr>
          <w:p>
            <w:pPr>
              <w:spacing w:after="0"/>
              <w:rPr>
                <w:sz w:val="11"/>
                <w:szCs w:val="11"/>
                <w:color w:val="auto"/>
              </w:rPr>
            </w:pPr>
          </w:p>
        </w:tc>
        <w:tc>
          <w:tcPr>
            <w:tcW w:w="1000" w:type="dxa"/>
            <w:vAlign w:val="bottom"/>
            <w:shd w:val="clear" w:color="auto" w:fill="9ADAF6"/>
          </w:tcPr>
          <w:p>
            <w:pPr>
              <w:jc w:val="right"/>
              <w:spacing w:after="0" w:line="130" w:lineRule="exact"/>
              <w:rPr>
                <w:sz w:val="20"/>
                <w:szCs w:val="20"/>
                <w:color w:val="auto"/>
              </w:rPr>
            </w:pPr>
            <w:r>
              <w:rPr>
                <w:rFonts w:ascii="Arial" w:cs="Arial" w:eastAsia="Arial" w:hAnsi="Arial"/>
                <w:sz w:val="15"/>
                <w:szCs w:val="15"/>
                <w:b w:val="1"/>
                <w:bCs w:val="1"/>
                <w:color w:val="auto"/>
              </w:rPr>
              <w:t>Registered</w:t>
            </w:r>
          </w:p>
        </w:tc>
        <w:tc>
          <w:tcPr>
            <w:tcW w:w="40" w:type="dxa"/>
            <w:vAlign w:val="bottom"/>
          </w:tcPr>
          <w:p>
            <w:pPr>
              <w:spacing w:after="0"/>
              <w:rPr>
                <w:sz w:val="11"/>
                <w:szCs w:val="11"/>
                <w:color w:val="auto"/>
              </w:rPr>
            </w:pPr>
          </w:p>
        </w:tc>
        <w:tc>
          <w:tcPr>
            <w:tcW w:w="15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Offering Price</w:t>
            </w:r>
          </w:p>
        </w:tc>
        <w:tc>
          <w:tcPr>
            <w:tcW w:w="20" w:type="dxa"/>
            <w:vAlign w:val="bottom"/>
          </w:tcPr>
          <w:p>
            <w:pPr>
              <w:spacing w:after="0"/>
              <w:rPr>
                <w:sz w:val="11"/>
                <w:szCs w:val="11"/>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Offering Price</w:t>
            </w:r>
          </w:p>
        </w:tc>
        <w:tc>
          <w:tcPr>
            <w:tcW w:w="4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shd w:val="clear" w:color="auto" w:fill="9ADAF6"/>
          </w:tcPr>
          <w:p>
            <w:pPr>
              <w:jc w:val="right"/>
              <w:ind w:right="36"/>
              <w:spacing w:after="0" w:line="130" w:lineRule="exact"/>
              <w:rPr>
                <w:sz w:val="20"/>
                <w:szCs w:val="20"/>
                <w:color w:val="auto"/>
              </w:rPr>
            </w:pPr>
            <w:r>
              <w:rPr>
                <w:rFonts w:ascii="Arial" w:cs="Arial" w:eastAsia="Arial" w:hAnsi="Arial"/>
                <w:sz w:val="15"/>
                <w:szCs w:val="15"/>
                <w:b w:val="1"/>
                <w:bCs w:val="1"/>
                <w:color w:val="auto"/>
              </w:rPr>
              <w:t>Registration Fee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20" w:type="dxa"/>
            <w:vAlign w:val="bottom"/>
          </w:tcPr>
          <w:p>
            <w:pPr>
              <w:spacing w:after="0"/>
              <w:rPr>
                <w:sz w:val="12"/>
                <w:szCs w:val="12"/>
                <w:color w:val="auto"/>
              </w:rPr>
            </w:pPr>
          </w:p>
        </w:tc>
        <w:tc>
          <w:tcPr>
            <w:tcW w:w="1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197" w:lineRule="exact"/>
              <w:rPr>
                <w:sz w:val="20"/>
                <w:szCs w:val="20"/>
                <w:color w:val="auto"/>
              </w:rPr>
            </w:pPr>
            <w:r>
              <w:rPr>
                <w:rFonts w:ascii="Arial" w:cs="Arial" w:eastAsia="Arial" w:hAnsi="Arial"/>
                <w:sz w:val="18"/>
                <w:szCs w:val="18"/>
                <w:color w:val="auto"/>
              </w:rPr>
              <w:t>Common</w:t>
            </w:r>
          </w:p>
        </w:tc>
        <w:tc>
          <w:tcPr>
            <w:tcW w:w="4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202" w:lineRule="exact"/>
              <w:rPr>
                <w:sz w:val="20"/>
                <w:szCs w:val="20"/>
                <w:color w:val="auto"/>
              </w:rPr>
            </w:pPr>
            <w:r>
              <w:rPr>
                <w:rFonts w:ascii="Arial" w:cs="Arial" w:eastAsia="Arial" w:hAnsi="Arial"/>
                <w:sz w:val="18"/>
                <w:szCs w:val="18"/>
                <w:color w:val="auto"/>
              </w:rPr>
              <w:t>Stock,</w:t>
            </w:r>
          </w:p>
        </w:tc>
        <w:tc>
          <w:tcPr>
            <w:tcW w:w="40" w:type="dxa"/>
            <w:vAlign w:val="bottom"/>
          </w:tcPr>
          <w:p>
            <w:pPr>
              <w:spacing w:after="0"/>
              <w:rPr>
                <w:sz w:val="17"/>
                <w:szCs w:val="17"/>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7"/>
                <w:szCs w:val="17"/>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$ 0.705</w:t>
            </w:r>
          </w:p>
        </w:tc>
        <w:tc>
          <w:tcPr>
            <w:tcW w:w="20" w:type="dxa"/>
            <w:vAlign w:val="bottom"/>
          </w:tcPr>
          <w:p>
            <w:pPr>
              <w:spacing w:after="0"/>
              <w:rPr>
                <w:sz w:val="17"/>
                <w:szCs w:val="17"/>
                <w:color w:val="auto"/>
              </w:rPr>
            </w:pPr>
          </w:p>
        </w:tc>
        <w:tc>
          <w:tcPr>
            <w:tcW w:w="16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$ 352,500.00</w:t>
            </w:r>
          </w:p>
        </w:tc>
        <w:tc>
          <w:tcPr>
            <w:tcW w:w="40" w:type="dxa"/>
            <w:vAlign w:val="bottom"/>
          </w:tcPr>
          <w:p>
            <w:pPr>
              <w:spacing w:after="0"/>
              <w:rPr>
                <w:sz w:val="17"/>
                <w:szCs w:val="17"/>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0.0001381</w:t>
            </w:r>
          </w:p>
        </w:tc>
        <w:tc>
          <w:tcPr>
            <w:tcW w:w="40" w:type="dxa"/>
            <w:vAlign w:val="bottom"/>
          </w:tcPr>
          <w:p>
            <w:pPr>
              <w:spacing w:after="0"/>
              <w:rPr>
                <w:sz w:val="17"/>
                <w:szCs w:val="17"/>
                <w:color w:val="auto"/>
              </w:rPr>
            </w:pPr>
          </w:p>
        </w:tc>
        <w:tc>
          <w:tcPr>
            <w:tcW w:w="16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$ 48.68</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1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shd w:val="clear" w:color="auto" w:fill="E7E7E2"/>
          </w:tcPr>
          <w:p>
            <w:pPr>
              <w:ind w:left="20"/>
              <w:spacing w:after="0" w:line="202" w:lineRule="exact"/>
              <w:rPr>
                <w:sz w:val="20"/>
                <w:szCs w:val="20"/>
                <w:color w:val="auto"/>
              </w:rPr>
            </w:pPr>
            <w:r>
              <w:rPr>
                <w:rFonts w:ascii="Arial" w:cs="Arial" w:eastAsia="Arial" w:hAnsi="Arial"/>
                <w:sz w:val="18"/>
                <w:szCs w:val="18"/>
                <w:color w:val="auto"/>
              </w:rPr>
              <w:t>$0.001 par</w:t>
            </w:r>
          </w:p>
        </w:tc>
        <w:tc>
          <w:tcPr>
            <w:tcW w:w="4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$ 352,500.00</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$ 48.68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Total Fee Offsets:</w:t>
            </w: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$ 48.68</w:t>
            </w: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Offering Note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1</w:t>
      </w:r>
    </w:p>
    <w:p>
      <w:pPr>
        <w:spacing w:after="0" w:line="47" w:lineRule="exact"/>
        <w:rPr>
          <w:sz w:val="20"/>
          <w:szCs w:val="20"/>
          <w:color w:val="auto"/>
        </w:rPr>
      </w:pPr>
    </w:p>
    <w:p>
      <w:pPr>
        <w:ind w:left="840" w:right="640" w:firstLine="5"/>
        <w:spacing w:after="0"/>
        <w:tabs>
          <w:tab w:leader="none" w:pos="11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any additional securities of ZW Data Action Technologies Inc. (the "Registrant") that may become issuable under the Registrant's 2025 Omnibus Equity Incentive Plan (the "Plan") as a result of any future stock splits, stock dividends or similar adjustments of the Registrant's outstanding ordinary shares.</w:t>
      </w:r>
    </w:p>
    <w:p>
      <w:pPr>
        <w:ind w:left="840" w:right="860" w:firstLine="5"/>
        <w:spacing w:after="0" w:line="234" w:lineRule="auto"/>
        <w:tabs>
          <w:tab w:leader="none" w:pos="11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Rule 457(h)(1) of the Securities Act. The proposed maximum offering price per share is estimated to be $0.7050, based on the average of the high sales price ($0.74) and the low sales price ($0.67) for the Registrant's common stock as reported by The Nasdaq Capital Market on April 13, 2026.</w:t>
      </w:r>
    </w:p>
    <w:p>
      <w:pPr>
        <w:spacing w:after="0" w:line="2" w:lineRule="exact"/>
        <w:rPr>
          <w:rFonts w:ascii="Arial" w:cs="Arial" w:eastAsia="Arial" w:hAnsi="Arial"/>
          <w:sz w:val="18"/>
          <w:szCs w:val="18"/>
          <w:color w:val="auto"/>
        </w:rPr>
      </w:pPr>
    </w:p>
    <w:p>
      <w:pPr>
        <w:ind w:left="1120" w:hanging="27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500,000 shares of common stock to be registered are reserved for future grants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79375</wp:posOffset>
            </wp:positionV>
            <wp:extent cx="638619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386195" cy="425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Table 2: Fee Offset Claims and Sources</w:t>
            </w: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300"/>
              <w:spacing w:after="0" w:line="207" w:lineRule="exact"/>
              <w:rPr>
                <w:sz w:val="20"/>
                <w:szCs w:val="20"/>
                <w:color w:val="auto"/>
              </w:rPr>
            </w:pPr>
            <w:r>
              <w:rPr>
                <w:rFonts w:ascii="MS PGothic" w:cs="MS PGothic" w:eastAsia="MS PGothic" w:hAnsi="MS PGothic"/>
                <w:sz w:val="18"/>
                <w:szCs w:val="18"/>
                <w:color w:val="auto"/>
                <w:highlight w:val="black"/>
                <w:w w:val="99"/>
              </w:rPr>
              <w:t>☑</w:t>
            </w:r>
            <w:r>
              <w:rPr>
                <w:rFonts w:ascii="Arial" w:cs="Arial" w:eastAsia="Arial" w:hAnsi="Arial"/>
                <w:sz w:val="18"/>
                <w:szCs w:val="18"/>
                <w:b w:val="1"/>
                <w:bCs w:val="1"/>
                <w:color w:val="auto"/>
                <w:w w:val="99"/>
              </w:rPr>
              <w:t>Not Applicable</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8"/>
              </w:rPr>
              <w:t>Unsold</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Security</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Security</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Unsold</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Aggregate</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Fee</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Form</w:t>
            </w:r>
          </w:p>
        </w:tc>
        <w:tc>
          <w:tcPr>
            <w:tcW w:w="80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Initial</w:t>
            </w:r>
          </w:p>
        </w:tc>
        <w:tc>
          <w:tcPr>
            <w:tcW w:w="60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Fee</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Type</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Title</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Offering</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c>
          <w:tcPr>
            <w:tcW w:w="0" w:type="dxa"/>
            <w:vAlign w:val="bottom"/>
          </w:tcPr>
          <w:p>
            <w:pPr>
              <w:spacing w:after="0"/>
              <w:rPr>
                <w:sz w:val="1"/>
                <w:szCs w:val="1"/>
                <w:color w:val="auto"/>
              </w:rPr>
            </w:pPr>
          </w:p>
        </w:tc>
      </w:tr>
      <w:tr>
        <w:trPr>
          <w:trHeight w:val="95"/>
        </w:trPr>
        <w:tc>
          <w:tcPr>
            <w:tcW w:w="2940" w:type="dxa"/>
            <w:vAlign w:val="bottom"/>
            <w:vMerge w:val="restart"/>
          </w:tcPr>
          <w:p>
            <w:pPr>
              <w:jc w:val="center"/>
              <w:ind w:left="1490"/>
              <w:spacing w:after="0"/>
              <w:rPr>
                <w:sz w:val="20"/>
                <w:szCs w:val="20"/>
                <w:color w:val="auto"/>
              </w:rPr>
            </w:pPr>
            <w:r>
              <w:rPr>
                <w:rFonts w:ascii="Arial" w:cs="Arial" w:eastAsia="Arial" w:hAnsi="Arial"/>
                <w:sz w:val="18"/>
                <w:szCs w:val="18"/>
                <w:b w:val="1"/>
                <w:bCs w:val="1"/>
                <w:color w:val="auto"/>
                <w:w w:val="99"/>
              </w:rPr>
              <w:t>Registrant or</w:t>
            </w: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or</w:t>
            </w: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File</w:t>
            </w:r>
          </w:p>
        </w:tc>
        <w:tc>
          <w:tcPr>
            <w:tcW w:w="62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Filing</w:t>
            </w:r>
          </w:p>
        </w:tc>
        <w:tc>
          <w:tcPr>
            <w:tcW w:w="780" w:type="dxa"/>
            <w:vAlign w:val="bottom"/>
            <w:vMerge w:val="continue"/>
          </w:tcPr>
          <w:p>
            <w:pPr>
              <w:spacing w:after="0"/>
              <w:rPr>
                <w:sz w:val="8"/>
                <w:szCs w:val="8"/>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Associated Associated Associated</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Amount</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81"/>
        </w:trPr>
        <w:tc>
          <w:tcPr>
            <w:tcW w:w="29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Filing</w:t>
            </w:r>
          </w:p>
        </w:tc>
        <w:tc>
          <w:tcPr>
            <w:tcW w:w="600" w:type="dxa"/>
            <w:vAlign w:val="bottom"/>
            <w:vMerge w:val="continue"/>
          </w:tcPr>
          <w:p>
            <w:pPr>
              <w:spacing w:after="0"/>
              <w:rPr>
                <w:sz w:val="15"/>
                <w:szCs w:val="15"/>
                <w:color w:val="auto"/>
              </w:rPr>
            </w:pPr>
          </w:p>
        </w:tc>
        <w:tc>
          <w:tcPr>
            <w:tcW w:w="7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Offset</w:t>
            </w:r>
          </w:p>
        </w:tc>
        <w:tc>
          <w:tcPr>
            <w:tcW w:w="3080" w:type="dxa"/>
            <w:vAlign w:val="bottom"/>
            <w:gridSpan w:val="3"/>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center"/>
              <w:ind w:left="1490"/>
              <w:spacing w:after="0" w:line="202" w:lineRule="exact"/>
              <w:rPr>
                <w:sz w:val="20"/>
                <w:szCs w:val="20"/>
                <w:color w:val="auto"/>
              </w:rPr>
            </w:pPr>
            <w:r>
              <w:rPr>
                <w:rFonts w:ascii="Arial" w:cs="Arial" w:eastAsia="Arial" w:hAnsi="Arial"/>
                <w:sz w:val="18"/>
                <w:szCs w:val="18"/>
                <w:b w:val="1"/>
                <w:bCs w:val="1"/>
                <w:color w:val="auto"/>
                <w:w w:val="99"/>
              </w:rPr>
              <w:t>Filer Name</w:t>
            </w:r>
          </w:p>
        </w:tc>
        <w:tc>
          <w:tcPr>
            <w:tcW w:w="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Filing</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w:t>
            </w:r>
          </w:p>
        </w:tc>
        <w:tc>
          <w:tcPr>
            <w:tcW w:w="6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Date</w:t>
            </w:r>
          </w:p>
        </w:tc>
        <w:tc>
          <w:tcPr>
            <w:tcW w:w="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Date</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Claimed</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Associated</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Fee</w:t>
            </w:r>
          </w:p>
        </w:tc>
        <w:tc>
          <w:tcPr>
            <w:tcW w:w="0" w:type="dxa"/>
            <w:vAlign w:val="bottom"/>
          </w:tcPr>
          <w:p>
            <w:pPr>
              <w:spacing w:after="0"/>
              <w:rPr>
                <w:sz w:val="1"/>
                <w:szCs w:val="1"/>
                <w:color w:val="auto"/>
              </w:rPr>
            </w:pPr>
          </w:p>
        </w:tc>
      </w:tr>
      <w:tr>
        <w:trPr>
          <w:trHeight w:val="130"/>
        </w:trPr>
        <w:tc>
          <w:tcPr>
            <w:tcW w:w="294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Type</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98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106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104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with Fee</w:t>
            </w:r>
          </w:p>
        </w:tc>
        <w:tc>
          <w:tcPr>
            <w:tcW w:w="720" w:type="dxa"/>
            <w:vAlign w:val="bottom"/>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Offset</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-935355</wp:posOffset>
            </wp:positionV>
            <wp:extent cx="7136130" cy="1847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6130" cy="1847215"/>
                    </a:xfrm>
                    <a:prstGeom prst="rect">
                      <a:avLst/>
                    </a:prstGeom>
                    <a:noFill/>
                  </pic:spPr>
                </pic:pic>
              </a:graphicData>
            </a:graphic>
          </wp:anchor>
        </w:drawing>
      </w:r>
    </w:p>
    <w:p>
      <w:pPr>
        <w:ind w:left="9640"/>
        <w:spacing w:after="0"/>
        <w:rPr>
          <w:sz w:val="20"/>
          <w:szCs w:val="20"/>
          <w:color w:val="auto"/>
        </w:rPr>
      </w:pPr>
      <w:r>
        <w:rPr>
          <w:rFonts w:ascii="Arial" w:cs="Arial" w:eastAsia="Arial" w:hAnsi="Arial"/>
          <w:sz w:val="18"/>
          <w:szCs w:val="18"/>
          <w:b w:val="1"/>
          <w:bCs w:val="1"/>
          <w:color w:val="auto"/>
        </w:rPr>
        <w:t>Claimed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457(p)</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Claims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1)"/>
      <w:numFmt w:val="lowerLetter"/>
      <w:start w:val="5"/>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1"/>
    </w:lvl>
    <w:lvl w:ilvl="1">
      <w:lvlJc w:val="left"/>
      <w:lvlText w:val="(%2)"/>
      <w:numFmt w:val="upperLetter"/>
      <w:start w:val="1"/>
    </w:lvl>
  </w:abstractNum>
  <w:abstractNum w:abstractNumId="6">
    <w:nsid w:val="DED7263"/>
    <w:multiLevelType w:val="hybridMultilevel"/>
    <w:lvl w:ilvl="0">
      <w:lvlJc w:val="left"/>
      <w:lvlText w:val="(%1)"/>
      <w:numFmt w:val="decimal"/>
      <w:start w:val="2"/>
    </w:lvl>
    <w:lvl w:ilvl="1">
      <w:lvlJc w:val="left"/>
      <w:lvlText w:val="%2"/>
      <w:numFmt w:val="upperLetter"/>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1"/>
      <w:numFmt w:val="decimal"/>
      <w:start w:val="1"/>
    </w:lvl>
    <w:lvl w:ilvl="1">
      <w:lvlJc w:val="left"/>
      <w:lvlText w:val="(%2)"/>
      <w:numFmt w:val="upperLetter"/>
      <w:start w:val="1"/>
    </w:lvl>
  </w:abstractNum>
  <w:abstractNum w:abstractNumId="10">
    <w:nsid w:val="6B68079A"/>
    <w:multiLevelType w:val="hybridMultilevel"/>
    <w:lvl w:ilvl="0">
      <w:lvlJc w:val="left"/>
      <w:lvlText w:val="(%1)"/>
      <w:numFmt w:val="decimal"/>
      <w:start w:val="6"/>
    </w:lvl>
    <w:lvl w:ilvl="1">
      <w:lvlJc w:val="left"/>
      <w:lvlText w:val="%2"/>
      <w:numFmt w:val="upperLetter"/>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decimal"/>
      <w:start w:val="7"/>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8"/>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22" Type="http://schemas.openxmlformats.org/officeDocument/2006/relationships/hyperlink" Target="http://www.sec.gov/ix?doc=/Archives/edgar/data/1376321/000117184325006393/cnet20251009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2026-04-15T15:16:37Z</dcterms:created>
  <dcterms:modified xsi:type="dcterms:W3CDTF">2026-04-15T15:16:37Z</dcterms:modified>
</cp:coreProperties>
</file>