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ZW Data Action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Vivien Bai, Esq.</w:t>
              <w:br/>
              <w:t xml:space="preserve">345 Park Avenue, </w:t>
              <w:br/>
              <w:t>New York, NY, 10154</w:t>
              <w:br/>
              <w:t>(212) 407-4933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04/22/2026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Chu Kai</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TAIWAN, PROVINCE OF CHINA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171,227.00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89,606.00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171,227.00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89,606.00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260,833.00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7.1 %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32"/>
        <w:gridCol w:w="9073"/>
      </w:tblGrid>
      <w:tr>
        <w:trPr/>
        <w:tc>
          <w:tcPr>
            <w:tcW w:w="1132"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Security and Issuer</w:t>
            </w:r>
          </w:p>
        </w:tc>
      </w:tr>
      <w:tr>
        <w:trPr/>
        <w:tc>
          <w:tcPr>
            <w:tcW w:w="1132"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r>
      <w:tr>
        <w:trPr/>
        <w:tc>
          <w:tcPr>
            <w:tcW w:w="1132"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ZW Data Action Technologies Inc.</w:t>
            </w:r>
          </w:p>
        </w:tc>
      </w:tr>
      <w:tr>
        <w:trPr/>
        <w:tc>
          <w:tcPr>
            <w:tcW w:w="1132"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8/F, 29 Des Voeux Road Central, Central, Hong Kong, CHINA , 999077.</w:t>
            </w:r>
          </w:p>
        </w:tc>
      </w:tr>
      <w:tr>
        <w:trPr/>
        <w:tc>
          <w:tcPr>
            <w:tcW w:w="1132"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Identity and Background</w:t>
            </w:r>
          </w:p>
        </w:tc>
      </w:tr>
      <w:tr>
        <w:trPr/>
        <w:tc>
          <w:tcPr>
            <w:tcW w:w="1132"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spacing w:before="0" w:after="0"/>
              <w:jc w:val="left"/>
              <w:rPr/>
            </w:pPr>
            <w:r>
              <w:rPr/>
              <w:t>This Schedule 13D is filed by George Kai Chu, a citizen of Taiwan (the "Reporting Person").</w:t>
            </w:r>
          </w:p>
        </w:tc>
      </w:tr>
      <w:tr>
        <w:trPr/>
        <w:tc>
          <w:tcPr>
            <w:tcW w:w="1132"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spacing w:before="0" w:after="0"/>
              <w:jc w:val="left"/>
              <w:rPr/>
            </w:pPr>
            <w:r>
              <w:rPr/>
              <w:t>The business address of the Reporting Person is c/o ZW Data Action Technologies Inc., 8/F. 29 Des Voeux Road Central, Central, Hong Kong Special Administrative Region of People's Republic of China.</w:t>
            </w:r>
          </w:p>
        </w:tc>
      </w:tr>
      <w:tr>
        <w:trPr/>
        <w:tc>
          <w:tcPr>
            <w:tcW w:w="1132"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0"/>
              <w:jc w:val="left"/>
              <w:rPr/>
            </w:pPr>
            <w:r>
              <w:rPr/>
              <w:t>The principal occupation of the Reporting Person is director of the Issuer.</w:t>
            </w:r>
          </w:p>
        </w:tc>
      </w:tr>
      <w:tr>
        <w:trPr/>
        <w:tc>
          <w:tcPr>
            <w:tcW w:w="1132"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spacing w:before="0" w:after="0"/>
              <w:jc w:val="left"/>
              <w:rPr/>
            </w:pPr>
            <w:r>
              <w:rPr/>
              <w:t>During the past five years, the Reporting Person has not been convicted in a criminal proceeding (excluding traffic violations and similar misdemeanors).</w:t>
            </w:r>
          </w:p>
        </w:tc>
      </w:tr>
      <w:tr>
        <w:trPr/>
        <w:tc>
          <w:tcPr>
            <w:tcW w:w="1132"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0"/>
              <w:jc w:val="left"/>
              <w:rPr/>
            </w:pPr>
            <w:r>
              <w:rPr/>
              <w:t>During the past five years, the Reporting Person has not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32" w:type="dxa"/>
            <w:tcBorders/>
            <w:vAlign w:val="center"/>
          </w:tcPr>
          <w:p>
            <w:pPr>
              <w:pStyle w:val="TableContents"/>
              <w:bidi w:val="0"/>
              <w:spacing w:before="0" w:after="283"/>
              <w:jc w:val="left"/>
              <w:rPr/>
            </w:pPr>
            <w:r>
              <w:rPr/>
              <w:t>(f)</w:t>
            </w:r>
          </w:p>
        </w:tc>
        <w:tc>
          <w:tcPr>
            <w:tcW w:w="9073" w:type="dxa"/>
            <w:tcBorders/>
            <w:vAlign w:val="center"/>
          </w:tcPr>
          <w:p>
            <w:pPr>
              <w:pStyle w:val="TableContents"/>
              <w:bidi w:val="0"/>
              <w:spacing w:before="0" w:after="0"/>
              <w:jc w:val="left"/>
              <w:rPr/>
            </w:pPr>
            <w:r>
              <w:rPr/>
              <w:t>This Schedule 13D is filed by George Kai Chu, a citizen of Taiwan (the "Reporting Person").</w:t>
            </w:r>
          </w:p>
        </w:tc>
      </w:tr>
      <w:tr>
        <w:trPr/>
        <w:tc>
          <w:tcPr>
            <w:tcW w:w="1132" w:type="dxa"/>
            <w:tcBorders/>
            <w:vAlign w:val="center"/>
          </w:tcPr>
          <w:p>
            <w:pPr>
              <w:pStyle w:val="TableContents"/>
              <w:bidi w:val="0"/>
              <w:spacing w:before="0" w:after="283"/>
              <w:jc w:val="left"/>
              <w:rPr/>
            </w:pPr>
            <w:r>
              <w:rPr/>
              <w:t>Item 3.</w:t>
            </w:r>
          </w:p>
        </w:tc>
        <w:tc>
          <w:tcPr>
            <w:tcW w:w="9073" w:type="dxa"/>
            <w:tcBorders/>
            <w:vAlign w:val="center"/>
          </w:tcPr>
          <w:p>
            <w:pPr>
              <w:pStyle w:val="TableContents"/>
              <w:bidi w:val="0"/>
              <w:spacing w:before="0" w:after="283"/>
              <w:jc w:val="left"/>
              <w:rPr/>
            </w:pPr>
            <w:r>
              <w:rPr/>
              <w:t>Source and Amount of Funds or Other Consideration</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No consideration was paid by the Reporting Person for 165,000 shares of common stock. 165,000 shares of the Issuer's common stock was awarded to the Reporting Person by the Board of Directors as compensation for services.</w:t>
            </w:r>
          </w:p>
        </w:tc>
      </w:tr>
      <w:tr>
        <w:trPr/>
        <w:tc>
          <w:tcPr>
            <w:tcW w:w="1132"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Purpose of Transaction</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165,000 shares of common stock were awarded to the Reporting Person as compensation for services.</w:t>
            </w:r>
          </w:p>
        </w:tc>
      </w:tr>
      <w:tr>
        <w:trPr/>
        <w:tc>
          <w:tcPr>
            <w:tcW w:w="1132"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Interest in Securities of the Issuer</w:t>
            </w:r>
          </w:p>
        </w:tc>
      </w:tr>
      <w:tr>
        <w:trPr/>
        <w:tc>
          <w:tcPr>
            <w:tcW w:w="1132"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spacing w:before="0" w:after="0"/>
              <w:jc w:val="left"/>
              <w:rPr/>
            </w:pPr>
            <w:r>
              <w:rPr/>
              <w:t>The Reporting Person beneficially owns 260,833 shares of common stock, representing approximately 7.1% of the total issued and outstanding shares of Common Stock (based on 3,668,429 shares of Common Stock issued and outstanding). Of this amount, 171,227 shares are directly owned by the Reporting Person and the remaining 89,606 shares are owned by Marvel Investment Limited. As a shareholder of Marvel Investment Limited, the Reporting Person may be deemed to have shared beneficial ownership over the shares of common stock owned by Marvel Investment Limited.</w:t>
            </w:r>
          </w:p>
        </w:tc>
      </w:tr>
      <w:tr>
        <w:trPr/>
        <w:tc>
          <w:tcPr>
            <w:tcW w:w="1132"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spacing w:before="0" w:after="0"/>
              <w:jc w:val="left"/>
              <w:rPr/>
            </w:pPr>
            <w:r>
              <w:rPr/>
              <w:t>The Reporting Person has sole voting and dispositive power over the 171,227 shares of Common Stock that he beneficially owns. The Reporting Person may be deemed to share voting and dispositive power over the shares owned by Marvel Investment Limited.</w:t>
            </w:r>
          </w:p>
        </w:tc>
      </w:tr>
      <w:tr>
        <w:trPr/>
        <w:tc>
          <w:tcPr>
            <w:tcW w:w="1132"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0"/>
              <w:jc w:val="left"/>
              <w:rPr/>
            </w:pPr>
            <w:r>
              <w:rPr/>
              <w:t>Other than the acquisition of the 165,000 shares of Common Stock reported on this Schedule 13D, the Reporting Person has not effected any transactions in the Common Stock during the past 60 days.</w:t>
            </w:r>
          </w:p>
        </w:tc>
      </w:tr>
      <w:tr>
        <w:trPr/>
        <w:tc>
          <w:tcPr>
            <w:tcW w:w="1132"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spacing w:before="0" w:after="0"/>
              <w:jc w:val="left"/>
              <w:rPr/>
            </w:pPr>
            <w:r>
              <w:rPr/>
              <w:t>To the knowledge of the Reporting Person, no other person is known to have the right to receive or the power to direct the receipt of dividends from, or the proceeds from the sale of, the Subject Shares.</w:t>
            </w:r>
          </w:p>
        </w:tc>
      </w:tr>
      <w:tr>
        <w:trPr/>
        <w:tc>
          <w:tcPr>
            <w:tcW w:w="1132"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0"/>
              <w:jc w:val="left"/>
              <w:rPr/>
            </w:pPr>
            <w:r>
              <w:rPr/>
              <w:t>Not applicable</w:t>
            </w:r>
          </w:p>
        </w:tc>
      </w:tr>
      <w:tr>
        <w:trPr/>
        <w:tc>
          <w:tcPr>
            <w:tcW w:w="1132"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Except as disclosed herein, there are no other contracts, arrangements, understandings or relationships (legal or otherwise) between the Reporting Person and any person with respect to any securities of the Issuer.</w:t>
            </w:r>
          </w:p>
        </w:tc>
      </w:tr>
      <w:tr>
        <w:trPr/>
        <w:tc>
          <w:tcPr>
            <w:tcW w:w="1132"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Material to be Filed as Exhibits.</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None.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158" w:type="dxa"/>
        <w:jc w:val="left"/>
        <w:tblInd w:w="0" w:type="dxa"/>
        <w:tblLayout w:type="fixed"/>
        <w:tblCellMar>
          <w:top w:w="28" w:type="dxa"/>
          <w:left w:w="28" w:type="dxa"/>
          <w:bottom w:w="28" w:type="dxa"/>
          <w:right w:w="28" w:type="dxa"/>
        </w:tblCellMar>
      </w:tblPr>
      <w:tblGrid>
        <w:gridCol w:w="1079"/>
        <w:gridCol w:w="1079"/>
      </w:tblGrid>
      <w:tr>
        <w:trPr/>
        <w:tc>
          <w:tcPr>
            <w:tcW w:w="1079" w:type="dxa"/>
            <w:tcBorders/>
            <w:vAlign w:val="center"/>
          </w:tcPr>
          <w:p>
            <w:pPr>
              <w:pStyle w:val="TableContents"/>
              <w:bidi w:val="0"/>
              <w:spacing w:before="0" w:after="0"/>
              <w:jc w:val="left"/>
              <w:rPr/>
            </w:pPr>
            <w:r>
              <w:rPr/>
              <w:t> </w:t>
            </w:r>
          </w:p>
          <w:tbl>
            <w:tblPr>
              <w:tblW w:w="976" w:type="dxa"/>
              <w:jc w:val="left"/>
              <w:tblInd w:w="0" w:type="dxa"/>
              <w:tblLayout w:type="fixed"/>
              <w:tblCellMar>
                <w:top w:w="28" w:type="dxa"/>
                <w:left w:w="28" w:type="dxa"/>
                <w:bottom w:w="28" w:type="dxa"/>
                <w:right w:w="28" w:type="dxa"/>
              </w:tblCellMar>
            </w:tblPr>
            <w:tblGrid>
              <w:gridCol w:w="976"/>
            </w:tblGrid>
            <w:tr>
              <w:trPr/>
              <w:tc>
                <w:tcPr>
                  <w:tcW w:w="976" w:type="dxa"/>
                  <w:tcBorders/>
                  <w:vAlign w:val="center"/>
                </w:tcPr>
                <w:p>
                  <w:pPr>
                    <w:pStyle w:val="TableContents"/>
                    <w:bidi w:val="0"/>
                    <w:spacing w:before="0" w:after="0"/>
                    <w:jc w:val="left"/>
                    <w:rPr/>
                  </w:pPr>
                  <w:r>
                    <w:rPr/>
                    <w:t>Chu Kai</w:t>
                  </w:r>
                </w:p>
              </w:tc>
            </w:tr>
          </w:tbl>
          <w:p>
            <w:pPr>
              <w:pStyle w:val="TableContents"/>
              <w:bidi w:val="0"/>
              <w:spacing w:before="0" w:after="283"/>
              <w:jc w:val="left"/>
              <w:rPr/>
            </w:pPr>
            <w:r>
              <w:rPr/>
            </w:r>
          </w:p>
        </w:tc>
        <w:tc>
          <w:tcPr>
            <w:tcW w:w="10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2"/>
        <w:gridCol w:w="4513"/>
      </w:tblGrid>
      <w:tr>
        <w:trPr/>
        <w:tc>
          <w:tcPr>
            <w:tcW w:w="56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Chu Kai</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Chu Kai</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05/05/2026</w:t>
                  </w:r>
                </w:p>
              </w:tc>
            </w:tr>
          </w:tbl>
          <w:p>
            <w:pPr>
              <w:pStyle w:val="TableContents"/>
              <w:bidi w:val="0"/>
              <w:spacing w:before="0" w:after="283"/>
              <w:jc w:val="left"/>
              <w:rPr/>
            </w:pPr>
            <w:r>
              <w:rPr/>
            </w:r>
          </w:p>
        </w:tc>
        <w:tc>
          <w:tcPr>
            <w:tcW w:w="45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903</Words>
  <Characters>4663</Characters>
  <CharactersWithSpaces>5501</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