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0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13, 2025 (May 8,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ZW Data Action Technologies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001-34647</w:t>
            </w:r>
          </w:p>
        </w:tc>
        <w:tc>
          <w:tcPr>
            <w:tcW w:w="33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20-4672080</w:t>
            </w: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(Commission File Number)</w:t>
            </w: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3560" w:type="dxa"/>
            <w:vAlign w:val="bottom"/>
          </w:tcPr>
          <w:p>
            <w:pPr>
              <w:spacing w:after="0"/>
              <w:rPr>
                <w:sz w:val="24"/>
                <w:szCs w:val="24"/>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Room 1811, Xinghuo Keji Plaza, No. 2 Fufeng Road,</w:t>
            </w:r>
          </w:p>
        </w:tc>
        <w:tc>
          <w:tcPr>
            <w:tcW w:w="3320" w:type="dxa"/>
            <w:vAlign w:val="bottom"/>
          </w:tcPr>
          <w:p>
            <w:pPr>
              <w:spacing w:after="0"/>
              <w:rPr>
                <w:sz w:val="24"/>
                <w:szCs w:val="24"/>
                <w:color w:val="auto"/>
              </w:rPr>
            </w:pPr>
          </w:p>
        </w:tc>
      </w:tr>
      <w:tr>
        <w:trPr>
          <w:trHeight w:val="234"/>
        </w:trPr>
        <w:tc>
          <w:tcPr>
            <w:tcW w:w="35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Fengtai District, Beijing, CN 100070</w:t>
            </w:r>
          </w:p>
        </w:tc>
        <w:tc>
          <w:tcPr>
            <w:tcW w:w="3320" w:type="dxa"/>
            <w:vAlign w:val="bottom"/>
            <w:tcBorders>
              <w:bottom w:val="single" w:sz="8" w:color="auto"/>
            </w:tcBorders>
          </w:tcPr>
          <w:p>
            <w:pPr>
              <w:spacing w:after="0"/>
              <w:rPr>
                <w:sz w:val="20"/>
                <w:szCs w:val="20"/>
                <w:color w:val="auto"/>
              </w:rPr>
            </w:pPr>
          </w:p>
        </w:tc>
      </w:tr>
      <w:tr>
        <w:trPr>
          <w:trHeight w:val="228"/>
        </w:trPr>
        <w:tc>
          <w:tcPr>
            <w:tcW w:w="356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tc>
        <w:tc>
          <w:tcPr>
            <w:tcW w:w="3320" w:type="dxa"/>
            <w:vAlign w:val="bottom"/>
          </w:tcPr>
          <w:p>
            <w:pPr>
              <w:spacing w:after="0"/>
              <w:rPr>
                <w:sz w:val="19"/>
                <w:szCs w:val="19"/>
                <w:color w:val="auto"/>
              </w:rPr>
            </w:pPr>
          </w:p>
        </w:tc>
      </w:tr>
      <w:tr>
        <w:trPr>
          <w:trHeight w:val="414"/>
        </w:trPr>
        <w:tc>
          <w:tcPr>
            <w:tcW w:w="3560" w:type="dxa"/>
            <w:vAlign w:val="bottom"/>
          </w:tcPr>
          <w:p>
            <w:pPr>
              <w:spacing w:after="0"/>
              <w:rPr>
                <w:sz w:val="24"/>
                <w:szCs w:val="24"/>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32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+86-10-60846616</w:t>
            </w:r>
          </w:p>
        </w:tc>
        <w:tc>
          <w:tcPr>
            <w:tcW w:w="3320" w:type="dxa"/>
            <w:vAlign w:val="bottom"/>
          </w:tcPr>
          <w:p>
            <w:pPr>
              <w:spacing w:after="0"/>
              <w:rPr>
                <w:sz w:val="24"/>
                <w:szCs w:val="24"/>
                <w:color w:val="auto"/>
              </w:rPr>
            </w:pPr>
          </w:p>
        </w:tc>
      </w:tr>
    </w:tbl>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rPr>
              <w:t>CNET</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765"/>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68"/>
        </w:trPr>
        <w:tc>
          <w:tcPr>
            <w:tcW w:w="36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May 14, 2025, ZW Data Action Technologies Inc (the “Company”) filed a Current Report on Form 8-K (the “Original Report”) with the U.S. Securities and Exchange Commission, which included, among other disclosures, information regarding certain agreements entered into by the Company. The Company is filing this Amendment No. 1 on Form 8-K/A (the “Amendment”) solely to correct inaccuracies regarding the number of shares and the consideration amount disclosed in connection with the transaction contemplated under Agreement 3 (as defined below). No other changes have been made to the Original report; however, this Amendment hereby restates and supersedes in its entirety the disclosures included in the Original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May 8, 2025, ZW Data Action Technologies Inc. (the “Company”) entered into a Securities Purchase Agreement (the </w:t>
      </w:r>
      <w:r>
        <w:rPr>
          <w:rFonts w:ascii="Times New Roman" w:cs="Times New Roman" w:eastAsia="Times New Roman" w:hAnsi="Times New Roman"/>
          <w:sz w:val="18"/>
          <w:szCs w:val="18"/>
          <w:b w:val="1"/>
          <w:bCs w:val="1"/>
          <w:color w:val="auto"/>
        </w:rPr>
        <w:t>“Agreement 1</w:t>
      </w:r>
      <w:r>
        <w:rPr>
          <w:rFonts w:ascii="Times New Roman" w:cs="Times New Roman" w:eastAsia="Times New Roman" w:hAnsi="Times New Roman"/>
          <w:sz w:val="18"/>
          <w:szCs w:val="18"/>
          <w:color w:val="auto"/>
        </w:rPr>
        <w:t>”) with Golden Harvest Trust Limited (Business Registration Number: 75554628) in its capacity as trustee of InfiniteReach Investment Group Limited Trust (the “</w:t>
      </w:r>
      <w:r>
        <w:rPr>
          <w:rFonts w:ascii="Times New Roman" w:cs="Times New Roman" w:eastAsia="Times New Roman" w:hAnsi="Times New Roman"/>
          <w:sz w:val="18"/>
          <w:szCs w:val="18"/>
          <w:b w:val="1"/>
          <w:bCs w:val="1"/>
          <w:color w:val="auto"/>
        </w:rPr>
        <w:t>Purchaser 1</w:t>
      </w:r>
      <w:r>
        <w:rPr>
          <w:rFonts w:ascii="Times New Roman" w:cs="Times New Roman" w:eastAsia="Times New Roman" w:hAnsi="Times New Roman"/>
          <w:sz w:val="18"/>
          <w:szCs w:val="18"/>
          <w:color w:val="auto"/>
        </w:rPr>
        <w:t>”), pursuant to which the Purchaser 1 agreed to purchase 119,100 shares of common stock of the Company, par value $0.001 per share for an aggregate purchase price of US$250,110, representing a purchase price of US$2.1 per share. The closing shall take place on the date mutually agreed by the parties, subject to the closing conditions contained in the Agreement. On the date that the Agreement 1 was signed, the Purchaser 1 also entered into a lock-up agreement with the Company, whereby the Purchaser 1 agreed not to transfer the shares until six-month anniversary of the date of the Agreement 1.</w:t>
      </w:r>
    </w:p>
    <w:p>
      <w:pPr>
        <w:spacing w:after="0" w:line="18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On May 8, 2025, the Company entered into a Securities Purchase Agreement (the “</w:t>
      </w:r>
      <w:r>
        <w:rPr>
          <w:rFonts w:ascii="Times New Roman" w:cs="Times New Roman" w:eastAsia="Times New Roman" w:hAnsi="Times New Roman"/>
          <w:sz w:val="18"/>
          <w:szCs w:val="18"/>
          <w:b w:val="1"/>
          <w:bCs w:val="1"/>
          <w:color w:val="auto"/>
        </w:rPr>
        <w:t>Agreement 2</w:t>
      </w:r>
      <w:r>
        <w:rPr>
          <w:rFonts w:ascii="Times New Roman" w:cs="Times New Roman" w:eastAsia="Times New Roman" w:hAnsi="Times New Roman"/>
          <w:sz w:val="18"/>
          <w:szCs w:val="18"/>
          <w:color w:val="auto"/>
        </w:rPr>
        <w:t>”) with BlackSilver Trust (Hong Kong) Limited (Business Registration Number: 74239285) in its capacity as trustee of the VividHorizon Trust (the “</w:t>
      </w:r>
      <w:r>
        <w:rPr>
          <w:rFonts w:ascii="Times New Roman" w:cs="Times New Roman" w:eastAsia="Times New Roman" w:hAnsi="Times New Roman"/>
          <w:sz w:val="18"/>
          <w:szCs w:val="18"/>
          <w:b w:val="1"/>
          <w:bCs w:val="1"/>
          <w:color w:val="auto"/>
        </w:rPr>
        <w:t>Purchaser 2</w:t>
      </w:r>
      <w:r>
        <w:rPr>
          <w:rFonts w:ascii="Times New Roman" w:cs="Times New Roman" w:eastAsia="Times New Roman" w:hAnsi="Times New Roman"/>
          <w:sz w:val="18"/>
          <w:szCs w:val="18"/>
          <w:color w:val="auto"/>
        </w:rPr>
        <w:t>”), pursuant to which the Purchaser 2 agreed to purchase 119,100 shares of common stock of the Company, par value $0.001 per share for an aggregate purchase price of US$250,110, representing a purchase price of US$2.1 per share. The closing shall take place on the date mutually agreed by the parties, subject to the closing conditions contained in the Agreement 2. On the date that the Agreement 2 was signed, the Purchaser 2 also entered into a lock-up agreement with the Company, whereby the Purchaser 2 agreed not to transfer the shares until six-month anniversary of the date of the Agreement 2.</w:t>
      </w:r>
    </w:p>
    <w:p>
      <w:pPr>
        <w:spacing w:after="0" w:line="182"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On May 13, 2025, the Company entered into a Securities Purchase Agreement (the “</w:t>
      </w:r>
      <w:r>
        <w:rPr>
          <w:rFonts w:ascii="Times New Roman" w:cs="Times New Roman" w:eastAsia="Times New Roman" w:hAnsi="Times New Roman"/>
          <w:sz w:val="18"/>
          <w:szCs w:val="18"/>
          <w:b w:val="1"/>
          <w:bCs w:val="1"/>
          <w:color w:val="auto"/>
        </w:rPr>
        <w:t>Agreement 3</w:t>
      </w:r>
      <w:r>
        <w:rPr>
          <w:rFonts w:ascii="Times New Roman" w:cs="Times New Roman" w:eastAsia="Times New Roman" w:hAnsi="Times New Roman"/>
          <w:sz w:val="18"/>
          <w:szCs w:val="18"/>
          <w:color w:val="auto"/>
        </w:rPr>
        <w:t>”) with Chaucer Investment &amp; Consulting Limited, a Hong Kong business company (Business Registration Number: 50180682) (the “</w:t>
      </w:r>
      <w:r>
        <w:rPr>
          <w:rFonts w:ascii="Times New Roman" w:cs="Times New Roman" w:eastAsia="Times New Roman" w:hAnsi="Times New Roman"/>
          <w:sz w:val="18"/>
          <w:szCs w:val="18"/>
          <w:b w:val="1"/>
          <w:bCs w:val="1"/>
          <w:color w:val="auto"/>
        </w:rPr>
        <w:t>Purchaser 3</w:t>
      </w:r>
      <w:r>
        <w:rPr>
          <w:rFonts w:ascii="Times New Roman" w:cs="Times New Roman" w:eastAsia="Times New Roman" w:hAnsi="Times New Roman"/>
          <w:sz w:val="18"/>
          <w:szCs w:val="18"/>
          <w:color w:val="auto"/>
        </w:rPr>
        <w:t>”), pursuant to which the Purchaser 3 agreed to purchase 132,400 shares of common stock of the Company, par value $0.001 per share for an aggregate purchase price of US$278,040, representing a purchase price of US$2.1 per share. The closing shall take place on the date mutually agreed by the parties, subject to the closing conditions contained in the Agreement 3. On the date that the Agreement 3 was signed, the Purchaser 3 also entered into a lock-up agreement with the Company, the Purchaser 3 agreed not to transfer the shares until six-month anniversary of the date of the Agreement 3.</w:t>
      </w:r>
    </w:p>
    <w:p>
      <w:pPr>
        <w:spacing w:after="0" w:line="18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Copies of the securities purchase agreements and the lock-op agreements are attached to this Current Report on Form 8-K as Exhibits 10.1, 10.2, 10.3, 10.4, 10.5 and 10.6,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disclosure required by this Item and included in Item 1.01 of this Current Report is incorporated herein by reference. The shares were sold without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reliance on the exemptions provided by Section 4(a)(2) of the Securities Act and Regulations D and S promulgated thereunder as sales to accredited investors and in reliance on similar exemptions under applicable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auto"/>
        </w:rPr>
        <w:t>Exhibit</w:t>
        <w:tab/>
        <w:t>Description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9" w:lineRule="exact"/>
        <w:rPr>
          <w:sz w:val="20"/>
          <w:szCs w:val="20"/>
          <w:color w:val="auto"/>
        </w:rPr>
      </w:pPr>
    </w:p>
    <w:p>
      <w:pPr>
        <w:ind w:left="780" w:right="100" w:hanging="768"/>
        <w:spacing w:after="0" w:line="250" w:lineRule="auto"/>
        <w:tabs>
          <w:tab w:leader="none" w:pos="760" w:val="left"/>
        </w:tabs>
        <w:rPr>
          <w:rFonts w:ascii="Times New Roman" w:cs="Times New Roman" w:eastAsia="Times New Roman" w:hAnsi="Times New Roman"/>
          <w:sz w:val="18"/>
          <w:szCs w:val="18"/>
          <w:u w:val="single" w:color="auto"/>
          <w:color w:val="0000EE"/>
        </w:rPr>
      </w:pPr>
      <w:hyperlink r:id="rId10">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10">
        <w:r>
          <w:rPr>
            <w:rFonts w:ascii="Times New Roman" w:cs="Times New Roman" w:eastAsia="Times New Roman" w:hAnsi="Times New Roman"/>
            <w:sz w:val="18"/>
            <w:szCs w:val="18"/>
            <w:u w:val="single" w:color="auto"/>
            <w:color w:val="0000EE"/>
          </w:rPr>
          <w:t>Securities Purchase Agreement, dated May 8, 2025 (incorporated by reference to the Exhibit 10.1 of the Company’s Current Report on Form 8-</w:t>
        </w:r>
      </w:hyperlink>
      <w:hyperlink r:id="rId10">
        <w:r>
          <w:rPr>
            <w:rFonts w:ascii="Times New Roman" w:cs="Times New Roman" w:eastAsia="Times New Roman" w:hAnsi="Times New Roman"/>
            <w:sz w:val="18"/>
            <w:szCs w:val="18"/>
            <w:u w:val="single" w:color="auto"/>
            <w:color w:val="0000EE"/>
          </w:rPr>
          <w:t>K filed with the Securities and Exchange Commission on May 14, 2025).</w:t>
        </w:r>
      </w:hyperlink>
    </w:p>
    <w:p>
      <w:pPr>
        <w:spacing w:after="0" w:line="1" w:lineRule="exact"/>
        <w:rPr>
          <w:rFonts w:ascii="Times New Roman" w:cs="Times New Roman" w:eastAsia="Times New Roman" w:hAnsi="Times New Roman"/>
          <w:sz w:val="18"/>
          <w:szCs w:val="18"/>
          <w:u w:val="single" w:color="auto"/>
          <w:color w:val="0000EE"/>
        </w:rPr>
      </w:pP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hyperlink r:id="rId11">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11">
        <w:r>
          <w:rPr>
            <w:rFonts w:ascii="Times New Roman" w:cs="Times New Roman" w:eastAsia="Times New Roman" w:hAnsi="Times New Roman"/>
            <w:sz w:val="18"/>
            <w:szCs w:val="18"/>
            <w:u w:val="single" w:color="auto"/>
            <w:color w:val="0000EE"/>
          </w:rPr>
          <w:t>Lock-Up Agreement, dated May 8, 2025 (incorporated by reference to the Exhibit 10.2 of the Company’s Current Report on Form 8-K filed with</w:t>
        </w:r>
      </w:hyperlink>
      <w:r>
        <w:rPr>
          <w:rFonts w:ascii="Times New Roman" w:cs="Times New Roman" w:eastAsia="Times New Roman" w:hAnsi="Times New Roman"/>
          <w:sz w:val="18"/>
          <w:szCs w:val="18"/>
          <w:u w:val="single" w:color="auto"/>
          <w:color w:val="0000EE"/>
        </w:rPr>
        <w:t xml:space="preserve"> </w:t>
      </w:r>
      <w:hyperlink r:id="rId11">
        <w:r>
          <w:rPr>
            <w:rFonts w:ascii="Times New Roman" w:cs="Times New Roman" w:eastAsia="Times New Roman" w:hAnsi="Times New Roman"/>
            <w:sz w:val="18"/>
            <w:szCs w:val="18"/>
            <w:u w:val="single" w:color="auto"/>
            <w:color w:val="0000EE"/>
          </w:rPr>
          <w:t>the Securities and Exchange Commission on May 14, 2025).</w:t>
        </w:r>
      </w:hyperlink>
    </w:p>
    <w:p>
      <w:pPr>
        <w:spacing w:after="0" w:line="1" w:lineRule="exact"/>
        <w:rPr>
          <w:rFonts w:ascii="Times New Roman" w:cs="Times New Roman" w:eastAsia="Times New Roman" w:hAnsi="Times New Roman"/>
          <w:sz w:val="18"/>
          <w:szCs w:val="18"/>
          <w:u w:val="single" w:color="auto"/>
          <w:color w:val="0000EE"/>
        </w:rPr>
      </w:pPr>
    </w:p>
    <w:p>
      <w:pPr>
        <w:ind w:left="780" w:right="100" w:hanging="768"/>
        <w:spacing w:after="0" w:line="250" w:lineRule="auto"/>
        <w:tabs>
          <w:tab w:leader="none" w:pos="760" w:val="left"/>
        </w:tabs>
        <w:rPr>
          <w:rFonts w:ascii="Times New Roman" w:cs="Times New Roman" w:eastAsia="Times New Roman" w:hAnsi="Times New Roman"/>
          <w:sz w:val="18"/>
          <w:szCs w:val="18"/>
          <w:u w:val="single" w:color="auto"/>
          <w:color w:val="0000EE"/>
        </w:rPr>
      </w:pPr>
      <w:hyperlink r:id="rId12">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u w:val="single" w:color="auto"/>
          <w:color w:val="0000EE"/>
        </w:rPr>
        <w:tab/>
      </w:r>
      <w:hyperlink r:id="rId12">
        <w:r>
          <w:rPr>
            <w:rFonts w:ascii="Times New Roman" w:cs="Times New Roman" w:eastAsia="Times New Roman" w:hAnsi="Times New Roman"/>
            <w:sz w:val="18"/>
            <w:szCs w:val="18"/>
            <w:u w:val="single" w:color="auto"/>
            <w:color w:val="0000EE"/>
          </w:rPr>
          <w:t>Securities Purchase Agreement, dated May 8, 2025 (incorporated by reference to the Exhibit 10.3 of the Company’s Current Report on Form 8-</w:t>
        </w:r>
      </w:hyperlink>
      <w:hyperlink r:id="rId12">
        <w:r>
          <w:rPr>
            <w:rFonts w:ascii="Times New Roman" w:cs="Times New Roman" w:eastAsia="Times New Roman" w:hAnsi="Times New Roman"/>
            <w:sz w:val="18"/>
            <w:szCs w:val="18"/>
            <w:u w:val="single" w:color="auto"/>
            <w:color w:val="0000EE"/>
          </w:rPr>
          <w:t>K filed with the Securities and Exchange Commission on May 14, 2025).</w:t>
        </w:r>
      </w:hyperlink>
    </w:p>
    <w:p>
      <w:pPr>
        <w:spacing w:after="0" w:line="1" w:lineRule="exact"/>
        <w:rPr>
          <w:rFonts w:ascii="Times New Roman" w:cs="Times New Roman" w:eastAsia="Times New Roman" w:hAnsi="Times New Roman"/>
          <w:sz w:val="18"/>
          <w:szCs w:val="18"/>
          <w:u w:val="single" w:color="auto"/>
          <w:color w:val="0000EE"/>
        </w:rPr>
      </w:pPr>
    </w:p>
    <w:p>
      <w:pPr>
        <w:ind w:left="780" w:right="40" w:hanging="768"/>
        <w:spacing w:after="0" w:line="250" w:lineRule="auto"/>
        <w:tabs>
          <w:tab w:leader="none" w:pos="760" w:val="left"/>
        </w:tabs>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u w:val="single" w:color="auto"/>
          <w:color w:val="0000EE"/>
        </w:rPr>
        <w:tab/>
      </w:r>
      <w:hyperlink r:id="rId13">
        <w:r>
          <w:rPr>
            <w:rFonts w:ascii="Times New Roman" w:cs="Times New Roman" w:eastAsia="Times New Roman" w:hAnsi="Times New Roman"/>
            <w:sz w:val="18"/>
            <w:szCs w:val="18"/>
            <w:u w:val="single" w:color="auto"/>
            <w:color w:val="0000EE"/>
          </w:rPr>
          <w:t>Lock-up Agreement, dated May 8, 2025 (incorporated by reference to the Exhibit 10.4 of the Company’s Current Report on Form 8-K filed with</w:t>
        </w:r>
      </w:hyperlink>
      <w:r>
        <w:rPr>
          <w:rFonts w:ascii="Times New Roman" w:cs="Times New Roman" w:eastAsia="Times New Roman" w:hAnsi="Times New Roman"/>
          <w:sz w:val="18"/>
          <w:szCs w:val="18"/>
          <w:u w:val="single" w:color="auto"/>
          <w:color w:val="0000EE"/>
        </w:rPr>
        <w:t xml:space="preserve"> </w:t>
      </w:r>
      <w:hyperlink r:id="rId13">
        <w:r>
          <w:rPr>
            <w:rFonts w:ascii="Times New Roman" w:cs="Times New Roman" w:eastAsia="Times New Roman" w:hAnsi="Times New Roman"/>
            <w:sz w:val="18"/>
            <w:szCs w:val="18"/>
            <w:u w:val="single" w:color="auto"/>
            <w:color w:val="0000EE"/>
          </w:rPr>
          <w:t>the Securities and Exchange Commission on May 14, 2025).</w:t>
        </w:r>
      </w:hyperlink>
    </w:p>
    <w:p>
      <w:pPr>
        <w:spacing w:after="0" w:line="1" w:lineRule="exact"/>
        <w:rPr>
          <w:rFonts w:ascii="Times New Roman" w:cs="Times New Roman" w:eastAsia="Times New Roman" w:hAnsi="Times New Roman"/>
          <w:sz w:val="18"/>
          <w:szCs w:val="18"/>
          <w:u w:val="single" w:color="auto"/>
          <w:color w:val="0000EE"/>
        </w:rPr>
      </w:pPr>
    </w:p>
    <w:p>
      <w:pPr>
        <w:ind w:left="780" w:right="20" w:hanging="768"/>
        <w:spacing w:after="0" w:line="250" w:lineRule="auto"/>
        <w:tabs>
          <w:tab w:leader="none" w:pos="760" w:val="left"/>
        </w:tabs>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u w:val="single" w:color="auto"/>
          <w:color w:val="0000EE"/>
        </w:rPr>
        <w:tab/>
      </w:r>
      <w:hyperlink r:id="rId14">
        <w:r>
          <w:rPr>
            <w:rFonts w:ascii="Times New Roman" w:cs="Times New Roman" w:eastAsia="Times New Roman" w:hAnsi="Times New Roman"/>
            <w:sz w:val="18"/>
            <w:szCs w:val="18"/>
            <w:u w:val="single" w:color="auto"/>
            <w:color w:val="0000EE"/>
          </w:rPr>
          <w:t>Securities Purchase Agreement, dated May 13, 2025 (incorporated by reference to the Exhibit 10.5 of the Company’s Current Report on Form 8-</w:t>
        </w:r>
      </w:hyperlink>
      <w:hyperlink r:id="rId14">
        <w:r>
          <w:rPr>
            <w:rFonts w:ascii="Times New Roman" w:cs="Times New Roman" w:eastAsia="Times New Roman" w:hAnsi="Times New Roman"/>
            <w:sz w:val="18"/>
            <w:szCs w:val="18"/>
            <w:u w:val="single" w:color="auto"/>
            <w:color w:val="0000EE"/>
          </w:rPr>
          <w:t>K filed with the Securities and Exchange Commission on May 14, 2025).</w:t>
        </w:r>
      </w:hyperlink>
    </w:p>
    <w:p>
      <w:pPr>
        <w:spacing w:after="0" w:line="1" w:lineRule="exact"/>
        <w:rPr>
          <w:rFonts w:ascii="Times New Roman" w:cs="Times New Roman" w:eastAsia="Times New Roman" w:hAnsi="Times New Roman"/>
          <w:sz w:val="18"/>
          <w:szCs w:val="18"/>
          <w:u w:val="single" w:color="auto"/>
          <w:color w:val="0000EE"/>
        </w:rPr>
      </w:pPr>
    </w:p>
    <w:p>
      <w:pPr>
        <w:ind w:left="780" w:right="260" w:hanging="768"/>
        <w:spacing w:after="0" w:line="260" w:lineRule="auto"/>
        <w:tabs>
          <w:tab w:leader="none" w:pos="760" w:val="left"/>
        </w:tabs>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u w:val="single" w:color="auto"/>
          <w:color w:val="0000EE"/>
        </w:rPr>
        <w:tab/>
      </w:r>
      <w:hyperlink r:id="rId15">
        <w:r>
          <w:rPr>
            <w:rFonts w:ascii="Times New Roman" w:cs="Times New Roman" w:eastAsia="Times New Roman" w:hAnsi="Times New Roman"/>
            <w:sz w:val="18"/>
            <w:szCs w:val="18"/>
            <w:u w:val="single" w:color="auto"/>
            <w:color w:val="0000EE"/>
          </w:rPr>
          <w:t>Lock-Up Agreement, dated May 13, 2025 (incorporated by reference to the Exhibit 10.6 of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with the Securities and Exchange Commission on May 14, 2025).</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898525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Handong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 and Acting Chief Financial Officer</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0" Type="http://schemas.openxmlformats.org/officeDocument/2006/relationships/hyperlink" Target="http://www.sec.gov/Archives/edgar/data/1376321/000117184325003179/exh_101.htm" TargetMode="External"/><Relationship Id="rId11" Type="http://schemas.openxmlformats.org/officeDocument/2006/relationships/hyperlink" Target="http://www.sec.gov/Archives/edgar/data/1376321/000117184325003179/exh_102.htm" TargetMode="External"/><Relationship Id="rId12" Type="http://schemas.openxmlformats.org/officeDocument/2006/relationships/hyperlink" Target="http://www.sec.gov/Archives/edgar/data/1376321/000117184325003179/exh_103.htm" TargetMode="External"/><Relationship Id="rId13" Type="http://schemas.openxmlformats.org/officeDocument/2006/relationships/hyperlink" Target="http://www.sec.gov/Archives/edgar/data/1376321/000117184325003179/exh_104.htm" TargetMode="External"/><Relationship Id="rId14" Type="http://schemas.openxmlformats.org/officeDocument/2006/relationships/hyperlink" Target="http://www.sec.gov/Archives/edgar/data/1376321/000117184325003179/exh_105.htm" TargetMode="External"/><Relationship Id="rId15" Type="http://schemas.openxmlformats.org/officeDocument/2006/relationships/hyperlink" Target="http://www.sec.gov/Archives/edgar/data/1376321/000117184325003179/exh_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2025-09-04T15:18:24Z</dcterms:created>
  <dcterms:modified xsi:type="dcterms:W3CDTF">2025-09-04T15:18:24Z</dcterms:modified>
</cp:coreProperties>
</file>