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826.htm"/>
      <w:bookmarkStart w:id="1" w:name="ksf8k_081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17, 2026</w:t>
      </w:r>
    </w:p>
    <w:p>
      <w:pPr>
        <w:pStyle w:val="TextBody"/>
        <w:bidi w:val="0"/>
        <w:jc w:val="center"/>
        <w:rPr/>
      </w:pPr>
      <w:r>
        <w:rPr/>
        <w:t>_______________________________</w:t>
      </w:r>
    </w:p>
    <w:p>
      <w:pPr>
        <w:pStyle w:val="TextBody"/>
        <w:bidi w:val="0"/>
        <w:spacing w:before="120" w:after="283"/>
        <w:jc w:val="center"/>
        <w:rPr>
          <w:b/>
          <w:caps/>
          <w:sz w:val="24"/>
        </w:rPr>
      </w:pPr>
      <w:r>
        <w:rPr>
          <w:b/>
          <w:caps/>
          <w:sz w:val="24"/>
        </w:rPr>
        <w:t>ZW Data Action Technologies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Nevada</w:t>
            </w:r>
          </w:p>
        </w:tc>
        <w:tc>
          <w:tcPr>
            <w:tcW w:w="2210" w:type="dxa"/>
            <w:tcBorders/>
            <w:vAlign w:val="center"/>
          </w:tcPr>
          <w:p>
            <w:pPr>
              <w:pStyle w:val="TableContents"/>
              <w:bidi w:val="0"/>
              <w:spacing w:before="0" w:after="283"/>
              <w:jc w:val="center"/>
              <w:rPr>
                <w:b/>
                <w:sz w:val="20"/>
              </w:rPr>
            </w:pPr>
            <w:r>
              <w:rPr>
                <w:b/>
                <w:sz w:val="20"/>
              </w:rPr>
              <w:t>001-34647</w:t>
            </w:r>
          </w:p>
        </w:tc>
        <w:tc>
          <w:tcPr>
            <w:tcW w:w="2900" w:type="dxa"/>
            <w:tcBorders/>
            <w:vAlign w:val="center"/>
          </w:tcPr>
          <w:p>
            <w:pPr>
              <w:pStyle w:val="TableContents"/>
              <w:bidi w:val="0"/>
              <w:spacing w:before="0" w:after="283"/>
              <w:jc w:val="center"/>
              <w:rPr>
                <w:b/>
                <w:sz w:val="20"/>
              </w:rPr>
            </w:pPr>
            <w:r>
              <w:rPr>
                <w:b/>
                <w:sz w:val="20"/>
              </w:rPr>
              <w:t>20-4672080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8/F. 29 Des Voeux Road Central, Central,</w:t>
      </w:r>
    </w:p>
    <w:p>
      <w:pPr>
        <w:pStyle w:val="TextBody"/>
        <w:bidi w:val="0"/>
        <w:spacing w:before="0" w:after="0"/>
        <w:jc w:val="center"/>
        <w:rPr>
          <w:b/>
          <w:sz w:val="20"/>
        </w:rPr>
      </w:pPr>
      <w:r>
        <w:rPr>
          <w:b/>
          <w:sz w:val="20"/>
        </w:rPr>
        <w:t>Hong Kong Special Administrative Region of the People's Republic of CN </w:t>
      </w:r>
    </w:p>
    <w:p>
      <w:pPr>
        <w:pStyle w:val="TextBody"/>
        <w:bidi w:val="0"/>
        <w:spacing w:before="0" w:after="120"/>
        <w:jc w:val="center"/>
        <w:rPr>
          <w:sz w:val="20"/>
        </w:rPr>
      </w:pPr>
      <w:r>
        <w:rPr>
          <w:sz w:val="20"/>
        </w:rPr>
        <w:t>(Address of Principal Executive Offices)</w:t>
      </w:r>
    </w:p>
    <w:p>
      <w:pPr>
        <w:pStyle w:val="TextBody"/>
        <w:bidi w:val="0"/>
        <w:spacing w:before="0" w:after="0"/>
        <w:jc w:val="center"/>
        <w:rPr/>
      </w:pPr>
      <w:r>
        <w:rPr>
          <w:rStyle w:val="StrongEmphasis"/>
          <w:sz w:val="20"/>
        </w:rPr>
        <w:t>+</w:t>
      </w:r>
      <w:r>
        <w:rPr>
          <w:sz w:val="20"/>
        </w:rPr>
        <w:t>852</w:t>
      </w:r>
      <w:r>
        <w:rPr>
          <w:rStyle w:val="StrongEmphasis"/>
          <w:sz w:val="20"/>
        </w:rPr>
        <w:t>-</w:t>
      </w:r>
      <w:r>
        <w:rPr>
          <w:sz w:val="20"/>
        </w:rPr>
        <w:t>2669-8078</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845" w:type="dxa"/>
        <w:jc w:val="left"/>
        <w:tblInd w:w="0" w:type="dxa"/>
        <w:tblLayout w:type="fixed"/>
        <w:tblCellMar>
          <w:top w:w="0" w:type="dxa"/>
          <w:left w:w="0" w:type="dxa"/>
          <w:bottom w:w="28" w:type="dxa"/>
          <w:right w:w="0" w:type="dxa"/>
        </w:tblCellMar>
      </w:tblPr>
      <w:tblGrid>
        <w:gridCol w:w="2735"/>
        <w:gridCol w:w="1535"/>
        <w:gridCol w:w="3575"/>
      </w:tblGrid>
      <w:tr>
        <w:trPr/>
        <w:tc>
          <w:tcPr>
            <w:tcW w:w="273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sz w:val="20"/>
              </w:rPr>
            </w:pPr>
            <w:r>
              <w:rPr>
                <w:sz w:val="20"/>
              </w:rPr>
              <w:t>Common Stock, par value $0.001</w:t>
            </w:r>
          </w:p>
        </w:tc>
        <w:tc>
          <w:tcPr>
            <w:tcW w:w="1535" w:type="dxa"/>
            <w:tcBorders/>
            <w:tcMar>
              <w:bottom w:w="0" w:type="dxa"/>
            </w:tcMar>
            <w:vAlign w:val="center"/>
          </w:tcPr>
          <w:p>
            <w:pPr>
              <w:pStyle w:val="TableContents"/>
              <w:bidi w:val="0"/>
              <w:spacing w:before="0" w:after="283"/>
              <w:jc w:val="center"/>
              <w:rPr>
                <w:sz w:val="20"/>
              </w:rPr>
            </w:pPr>
            <w:r>
              <w:rPr>
                <w:sz w:val="20"/>
              </w:rPr>
              <w:t>CNET</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jc w:val="both"/>
        <w:rPr/>
      </w:pPr>
      <w:r>
        <w:rPr/>
        <w:t> </w:t>
      </w:r>
    </w:p>
    <w:p>
      <w:pPr>
        <w:pStyle w:val="TextBody"/>
        <w:bidi w:val="0"/>
        <w:spacing w:before="0" w:after="0"/>
        <w:jc w:val="both"/>
        <w:rPr>
          <w:sz w:val="20"/>
        </w:rPr>
      </w:pPr>
      <w:r>
        <w:rPr>
          <w:sz w:val="20"/>
        </w:rPr>
        <w:t>On August 17, 2026, ZW Data Action Technologies Inc. (the “Company”) received a formal notification from the Listing Qualifications Staff of The Nasdaq Stock Market LLC (“Nasdaq”) indicating that the Company has regained compliance with Nasdaq Listing Rule 5550(a)(2), which requires listed securities to maintain a minimum bid price of $1.00 per share (the “Nasdaq Minimum Bid Price Requirement”).</w:t>
      </w:r>
    </w:p>
    <w:p>
      <w:pPr>
        <w:pStyle w:val="TextBody"/>
        <w:bidi w:val="0"/>
        <w:spacing w:before="0" w:after="0"/>
        <w:jc w:val="both"/>
        <w:rPr/>
      </w:pPr>
      <w:r>
        <w:rPr/>
        <w:t> </w:t>
      </w:r>
    </w:p>
    <w:p>
      <w:pPr>
        <w:pStyle w:val="TextBody"/>
        <w:bidi w:val="0"/>
        <w:spacing w:before="0" w:after="0"/>
        <w:jc w:val="both"/>
        <w:rPr>
          <w:sz w:val="20"/>
        </w:rPr>
      </w:pPr>
      <w:r>
        <w:rPr>
          <w:sz w:val="20"/>
        </w:rPr>
        <w:t>As previously disclosed on March 26, 2026, the Company received a letter from Nasdaq dated March 26, 2026, notifying the Company that it was not in compliance with the Nasdaq Minimum Bid Price Requirement, because the closing bid price of the Company’s common stock was below $1 per share for the last 30 consecutive business days.</w:t>
      </w:r>
    </w:p>
    <w:p>
      <w:pPr>
        <w:pStyle w:val="TextBody"/>
        <w:bidi w:val="0"/>
        <w:spacing w:before="0" w:after="0"/>
        <w:jc w:val="both"/>
        <w:rPr/>
      </w:pPr>
      <w:r>
        <w:rPr/>
        <w:t> </w:t>
      </w:r>
    </w:p>
    <w:p>
      <w:pPr>
        <w:pStyle w:val="TextBody"/>
        <w:bidi w:val="0"/>
        <w:spacing w:before="0" w:after="0"/>
        <w:jc w:val="both"/>
        <w:rPr>
          <w:sz w:val="20"/>
        </w:rPr>
      </w:pPr>
      <w:r>
        <w:rPr>
          <w:sz w:val="20"/>
        </w:rPr>
        <w:t>Nasdaq has now determined that, for the last 10 consecutive business days, from August 3, 2026 to August 14, 2026, the closing bid price of the Company’s common stock was at or above $1.00 per share, and accordingly, the Company has regained compliance with Listing Rule 5550(a)(2), and the prior minimum bid price deficiency matter is now closed.</w:t>
      </w:r>
    </w:p>
    <w:p>
      <w:pPr>
        <w:pStyle w:val="TextBody"/>
        <w:bidi w:val="0"/>
        <w:spacing w:before="0" w:after="0"/>
        <w:jc w:val="both"/>
        <w:rPr/>
      </w:pPr>
      <w:r>
        <w:rPr/>
        <w:t> </w:t>
      </w:r>
    </w:p>
    <w:p>
      <w:pPr>
        <w:pStyle w:val="TextBody"/>
        <w:bidi w:val="0"/>
        <w:spacing w:before="0" w:after="0"/>
        <w:jc w:val="both"/>
        <w:rPr>
          <w:sz w:val="20"/>
        </w:rPr>
      </w:pPr>
      <w:r>
        <w:rPr>
          <w:sz w:val="20"/>
        </w:rPr>
        <w:t>The Company issued a press release on this development on August 18 2026, a copy of which is attached hereto as Exhibit 99.1 and is incorporated herein by reference. </w:t>
      </w:r>
    </w:p>
    <w:p>
      <w:pPr>
        <w:pStyle w:val="TextBody"/>
        <w:bidi w:val="0"/>
        <w:spacing w:before="0" w:after="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both"/>
        <w:rPr/>
      </w:pPr>
      <w:r>
        <w:rPr/>
        <w:t> </w:t>
      </w:r>
    </w:p>
    <w:p>
      <w:pPr>
        <w:pStyle w:val="TextBody"/>
        <w:bidi w:val="0"/>
        <w:spacing w:before="0" w:after="0"/>
        <w:jc w:val="both"/>
        <w:rPr>
          <w:sz w:val="20"/>
        </w:rPr>
      </w:pPr>
      <w:r>
        <w:rPr>
          <w:sz w:val="20"/>
        </w:rPr>
        <w:t>(d) Exhibits</w:t>
      </w:r>
    </w:p>
    <w:p>
      <w:pPr>
        <w:pStyle w:val="TextBody"/>
        <w:bidi w:val="0"/>
        <w:spacing w:before="0" w:after="0"/>
        <w:jc w:val="both"/>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18,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7005" w:type="dxa"/>
        <w:jc w:val="left"/>
        <w:tblInd w:w="0" w:type="dxa"/>
        <w:tblLayout w:type="fixed"/>
        <w:tblCellMar>
          <w:top w:w="0" w:type="dxa"/>
          <w:left w:w="0" w:type="dxa"/>
          <w:bottom w:w="0" w:type="dxa"/>
          <w:right w:w="0" w:type="dxa"/>
        </w:tblCellMar>
      </w:tblPr>
      <w:tblGrid>
        <w:gridCol w:w="1850"/>
        <w:gridCol w:w="365"/>
        <w:gridCol w:w="4790"/>
      </w:tblGrid>
      <w:tr>
        <w:trPr/>
        <w:tc>
          <w:tcPr>
            <w:tcW w:w="1850"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b/>
                <w:sz w:val="20"/>
              </w:rPr>
            </w:pPr>
            <w:r>
              <w:rPr>
                <w:b/>
                <w:sz w:val="20"/>
              </w:rPr>
              <w:t>ZW Data Action Technologies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18, 2026</w:t>
            </w:r>
          </w:p>
        </w:tc>
        <w:tc>
          <w:tcPr>
            <w:tcW w:w="365" w:type="dxa"/>
            <w:tcBorders/>
            <w:vAlign w:val="center"/>
          </w:tcPr>
          <w:p>
            <w:pPr>
              <w:pStyle w:val="TableContents"/>
              <w:bidi w:val="0"/>
              <w:spacing w:before="0" w:after="283"/>
              <w:jc w:val="left"/>
              <w:rPr>
                <w:sz w:val="20"/>
              </w:rPr>
            </w:pPr>
            <w:r>
              <w:rPr>
                <w:sz w:val="20"/>
              </w:rPr>
              <w:t>By: </w:t>
            </w:r>
          </w:p>
        </w:tc>
        <w:tc>
          <w:tcPr>
            <w:tcW w:w="4790" w:type="dxa"/>
            <w:tcBorders/>
            <w:vAlign w:val="center"/>
          </w:tcPr>
          <w:p>
            <w:pPr>
              <w:pStyle w:val="TableContents"/>
              <w:bidi w:val="0"/>
              <w:spacing w:before="0" w:after="283"/>
              <w:jc w:val="left"/>
              <w:rPr>
                <w:sz w:val="20"/>
                <w:u w:val="single"/>
              </w:rPr>
            </w:pPr>
            <w:r>
              <w:rPr>
                <w:sz w:val="20"/>
                <w:u w:val="single"/>
              </w:rPr>
              <w:t>/s/ Handong Cheng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sz w:val="20"/>
              </w:rPr>
            </w:pPr>
            <w:r>
              <w:rPr>
                <w:sz w:val="20"/>
              </w:rPr>
              <w:t>Handong Cheng</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sz w:val="20"/>
              </w:rPr>
            </w:pPr>
            <w:r>
              <w:rPr>
                <w:sz w:val="20"/>
              </w:rPr>
              <w:t>Chief Executive Officer and Acting Chief Financial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ZW Data Action Technologies Inc. Announces It Has Regained Compliance with Nasdaq Minimum Bid Price Requirement</w:t>
      </w:r>
    </w:p>
    <w:p>
      <w:pPr>
        <w:pStyle w:val="TextBody"/>
        <w:bidi w:val="0"/>
        <w:jc w:val="both"/>
        <w:rPr/>
      </w:pPr>
      <w:r>
        <w:rPr/>
        <w:t>HONG KONG, Aug. 18, 2026 (GLOBE NEWSWIRE) -- ZW Data Action Technologies Inc. (the “Company”) (Nasdaq:CNET), an integrated online advertising, precision marketing, data analytics and other value-added services provider serving enterprise clients, today announced that it received a formal notification from the Listing Qualifications Staff of The Nasdaq Stock Market LLC (“Nasdaq”), dated August 17, 2026, indicating that the Company has regained compliance with Nasdaq Listing Rule 5550(a)(2), which requires listed securities to maintain a minimum bid price of $1.00 per share (the “Nasdaq Minimum Bid Price Requirement”).</w:t>
      </w:r>
    </w:p>
    <w:p>
      <w:pPr>
        <w:pStyle w:val="TextBody"/>
        <w:bidi w:val="0"/>
        <w:jc w:val="both"/>
        <w:rPr/>
      </w:pPr>
      <w:r>
        <w:rPr/>
        <w:t>On March 26, 2026, the Company received a letter from Nasdaq dated March 26, 2026, notifying the Company that it was not in compliance with the Nasdaq Minimum Bid Price Requirement, because the closing bid price of the Company’s common stock was below $1 per share for the last 30 consecutive business days.</w:t>
      </w:r>
    </w:p>
    <w:p>
      <w:pPr>
        <w:pStyle w:val="TextBody"/>
        <w:bidi w:val="0"/>
        <w:jc w:val="both"/>
        <w:rPr/>
      </w:pPr>
      <w:r>
        <w:rPr/>
        <w:t>Nasdaq has now determined that, for the last 10 consecutive business days, from August 3, 2026 to August 14, 2026, the closing bid price of the Company’s common stock was at or above $1.00 per share, and accordingly, the Company has regained compliance with Listing Rule 5550(a)(2), and the prior minimum bid price deficiency matter is now closed.</w:t>
      </w:r>
    </w:p>
    <w:p>
      <w:pPr>
        <w:pStyle w:val="TextBody"/>
        <w:bidi w:val="0"/>
        <w:jc w:val="both"/>
        <w:rPr/>
      </w:pPr>
      <w:r>
        <w:rPr/>
        <w:t>About ZW Data Action Technologies Inc.</w:t>
      </w:r>
    </w:p>
    <w:p>
      <w:pPr>
        <w:pStyle w:val="TextBody"/>
        <w:bidi w:val="0"/>
        <w:jc w:val="both"/>
        <w:rPr/>
      </w:pPr>
      <w:r>
        <w:rPr/>
        <w:t>Established in 2003 and headquartered in Hong Kong, China, ZW Data Action Technologies Inc. (the “Company”) offers online advertising, precision marketing, data analytics and other value-added services for enterprise clients. Leveraging its fully integrated services platform, proprietary database, and cutting-edge algorithms, the Company delivers customized, result-driven business solutions for small and medium-sized enterprise clients in China. The Company also develops blockchain enabled web/mobile applications and software solutions for clients. More information about the Company can be found at: https://investor.chinanet-online.com.</w:t>
      </w:r>
    </w:p>
    <w:p>
      <w:pPr>
        <w:pStyle w:val="TextBody"/>
        <w:bidi w:val="0"/>
        <w:jc w:val="both"/>
        <w:rPr/>
      </w:pPr>
      <w:r>
        <w:rPr/>
        <w:t>Cautionary Note Regarding Forward-Looking Statements</w:t>
      </w:r>
    </w:p>
    <w:p>
      <w:pPr>
        <w:pStyle w:val="TextBody"/>
        <w:bidi w:val="0"/>
        <w:jc w:val="both"/>
        <w:rPr/>
      </w:pPr>
      <w:r>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Some important factors that could cause actual results to differ materially from those in any forward-looking statements could include changes in domestic and foreign business, market, financial, political and legal conditions.</w:t>
      </w:r>
    </w:p>
    <w:p>
      <w:pPr>
        <w:pStyle w:val="TextBody"/>
        <w:bidi w:val="0"/>
        <w:jc w:val="both"/>
        <w:rPr/>
      </w:pPr>
      <w:r>
        <w:rPr/>
        <w:t>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current expectations, plans and forecasts of future events and views as of the date hereof. Nothing in this communication should be regarded as a representation by any person that the forward- 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and the risk factors of the Company described in the Company’s Form 10-K filed with the SEC on March 31, 2026, including those under “Risk Factors” therein. The Company anticipates that subsequent events and developments will cause its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communication. Accordingly, undue reliance should not be placed upon the forward-looking statements.</w:t>
      </w:r>
    </w:p>
    <w:p>
      <w:pPr>
        <w:pStyle w:val="TextBody"/>
        <w:bidi w:val="0"/>
        <w:jc w:val="both"/>
        <w:rPr/>
      </w:pPr>
      <w:r>
        <w:rPr/>
        <w:t>Contacts</w:t>
      </w:r>
    </w:p>
    <w:p>
      <w:pPr>
        <w:pStyle w:val="TextBody"/>
        <w:bidi w:val="0"/>
        <w:spacing w:before="0" w:after="283"/>
        <w:jc w:val="both"/>
        <w:rPr/>
      </w:pPr>
      <w:r>
        <w:rPr/>
        <w:t>ZW Data Action Technologies Inc.</w:t>
        <w:br/>
        <w:t>Maggie Wan</w:t>
        <w:br/>
        <w:t>Email: wanmeng@chinanet-online.com</w:t>
        <w:br/>
        <w:t>Phone: +86 135 22831530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1424</Words>
  <Characters>8185</Characters>
  <CharactersWithSpaces>9575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