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jc w:val="center"/>
        <w:ind w:left="3940" w:right="1180" w:hanging="2756"/>
        <w:spacing w:after="0" w:line="500" w:lineRule="auto"/>
        <w:tabs>
          <w:tab w:leader="none" w:pos="139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March 31, 2026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jc w:val="center"/>
        <w:ind w:left="4020" w:right="1160" w:hanging="2846"/>
        <w:spacing w:after="0" w:line="532" w:lineRule="auto"/>
        <w:tabs>
          <w:tab w:leader="none" w:pos="138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 to _____</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001-34647</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ZW Data Action Technologies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3520" w:type="dxa"/>
            <w:vAlign w:val="bottom"/>
            <w:gridSpan w:val="2"/>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70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20-4672080</w:t>
            </w:r>
          </w:p>
        </w:tc>
      </w:tr>
      <w:tr>
        <w:trPr>
          <w:trHeight w:val="20"/>
        </w:trPr>
        <w:tc>
          <w:tcPr>
            <w:tcW w:w="1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38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0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8/F, 29 Des Voeux Road Central, Central,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Hong Kong Special Administrative Region of the People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Republic of China</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+852 2669-8078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rPr>
              <w:t>CNET</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ind w:right="2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4" w:right="339" w:bottom="144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1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15, 2026, the registrant had 3,668,429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900" w:type="dxa"/>
            <w:vAlign w:val="bottom"/>
            <w:gridSpan w:val="7"/>
          </w:tcPr>
          <w:p>
            <w:pPr>
              <w:ind w:left="1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92"/>
        </w:trPr>
        <w:tc>
          <w:tcPr>
            <w:tcW w:w="30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0000EE"/>
                <w:w w:val="98"/>
              </w:rPr>
              <w:t>PART I. FINANCIAL INFORMATION</w:t>
            </w:r>
          </w:p>
        </w:tc>
        <w:tc>
          <w:tcPr>
            <w:tcW w:w="6900" w:type="dxa"/>
            <w:vAlign w:val="bottom"/>
            <w:gridSpan w:val="7"/>
          </w:tcPr>
          <w:p>
            <w:pPr>
              <w:spacing w:after="0"/>
              <w:rPr>
                <w:sz w:val="24"/>
                <w:szCs w:val="24"/>
                <w:color w:val="auto"/>
              </w:rPr>
            </w:pPr>
          </w:p>
        </w:tc>
        <w:tc>
          <w:tcPr>
            <w:tcW w:w="1260" w:type="dxa"/>
            <w:vAlign w:val="bottom"/>
            <w:gridSpan w:val="8"/>
          </w:tcPr>
          <w:p>
            <w:pPr>
              <w:ind w:left="6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2"/>
        </w:trPr>
        <w:tc>
          <w:tcPr>
            <w:tcW w:w="99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1. Interim Financial Statements</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72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March 31, 2026 (Unaudited) and December 31, 2025</w:t>
            </w:r>
          </w:p>
        </w:tc>
        <w:tc>
          <w:tcPr>
            <w:tcW w:w="2320" w:type="dxa"/>
            <w:vAlign w:val="bottom"/>
            <w:gridSpan w:val="3"/>
          </w:tcPr>
          <w:p>
            <w:pPr>
              <w:spacing w:after="0"/>
              <w:rPr>
                <w:sz w:val="24"/>
                <w:szCs w:val="24"/>
                <w:color w:val="auto"/>
              </w:rPr>
            </w:pPr>
          </w:p>
        </w:tc>
        <w:tc>
          <w:tcPr>
            <w:tcW w:w="800" w:type="dxa"/>
            <w:vAlign w:val="bottom"/>
            <w:gridSpan w:val="3"/>
          </w:tcPr>
          <w:p>
            <w:pPr>
              <w:spacing w:after="0"/>
              <w:rPr>
                <w:sz w:val="24"/>
                <w:szCs w:val="24"/>
                <w:color w:val="auto"/>
              </w:rPr>
            </w:pPr>
          </w:p>
        </w:tc>
        <w:tc>
          <w:tcPr>
            <w:tcW w:w="2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0000EE"/>
                <w:w w:val="74"/>
              </w:rPr>
              <w:t>1</w:t>
            </w:r>
            <w:r>
              <w:rPr>
                <w:rFonts w:ascii="Times New Roman" w:cs="Times New Roman" w:eastAsia="Times New Roman" w:hAnsi="Times New Roman"/>
                <w:sz w:val="18"/>
                <w:szCs w:val="18"/>
                <w:color w:val="000000"/>
                <w:w w:val="74"/>
              </w:rPr>
              <w:t>-</w:t>
            </w:r>
            <w:r>
              <w:rPr>
                <w:rFonts w:ascii="Times New Roman" w:cs="Times New Roman" w:eastAsia="Times New Roman" w:hAnsi="Times New Roman"/>
                <w:sz w:val="18"/>
                <w:szCs w:val="18"/>
                <w:color w:val="0000EE"/>
                <w:w w:val="74"/>
              </w:rPr>
              <w:t>2</w:t>
            </w:r>
          </w:p>
        </w:tc>
        <w:tc>
          <w:tcPr>
            <w:tcW w:w="2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 for the Three Months Ended March 31, 2026 and 2025</w:t>
            </w:r>
          </w:p>
        </w:tc>
        <w:tc>
          <w:tcPr>
            <w:tcW w:w="920" w:type="dxa"/>
            <w:vAlign w:val="bottom"/>
            <w:gridSpan w:val="6"/>
          </w:tcPr>
          <w:p>
            <w:pPr>
              <w:jc w:val="center"/>
              <w:ind w:left="730"/>
              <w:spacing w:after="0"/>
              <w:rPr>
                <w:sz w:val="20"/>
                <w:szCs w:val="20"/>
                <w:color w:val="auto"/>
              </w:rPr>
            </w:pPr>
            <w:r>
              <w:rPr>
                <w:rFonts w:ascii="Times New Roman" w:cs="Times New Roman" w:eastAsia="Times New Roman" w:hAnsi="Times New Roman"/>
                <w:sz w:val="18"/>
                <w:szCs w:val="18"/>
                <w:color w:val="0000EE"/>
              </w:rPr>
              <w:t>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8440" w:type="dxa"/>
            <w:vAlign w:val="bottom"/>
            <w:tcBorders>
              <w:top w:val="single" w:sz="8" w:color="0000EE"/>
            </w:tcBorders>
            <w:gridSpan w:val="14"/>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12"/>
        </w:trPr>
        <w:tc>
          <w:tcPr>
            <w:tcW w:w="460" w:type="dxa"/>
            <w:vAlign w:val="bottom"/>
          </w:tcPr>
          <w:p>
            <w:pPr>
              <w:spacing w:after="0"/>
              <w:rPr>
                <w:sz w:val="24"/>
                <w:szCs w:val="24"/>
                <w:color w:val="auto"/>
              </w:rPr>
            </w:pPr>
          </w:p>
        </w:tc>
        <w:tc>
          <w:tcPr>
            <w:tcW w:w="86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2026 and 2025 (Unaudited)</w:t>
            </w:r>
          </w:p>
        </w:tc>
        <w:tc>
          <w:tcPr>
            <w:tcW w:w="900" w:type="dxa"/>
            <w:vAlign w:val="bottom"/>
            <w:gridSpan w:val="2"/>
          </w:tcPr>
          <w:p>
            <w:pPr>
              <w:spacing w:after="0"/>
              <w:rPr>
                <w:sz w:val="24"/>
                <w:szCs w:val="24"/>
                <w:color w:val="auto"/>
              </w:rPr>
            </w:pPr>
          </w:p>
        </w:tc>
        <w:tc>
          <w:tcPr>
            <w:tcW w:w="800" w:type="dxa"/>
            <w:vAlign w:val="bottom"/>
            <w:gridSpan w:val="3"/>
          </w:tcPr>
          <w:p>
            <w:pPr>
              <w:spacing w:after="0"/>
              <w:rPr>
                <w:sz w:val="24"/>
                <w:szCs w:val="24"/>
                <w:color w:val="auto"/>
              </w:rPr>
            </w:pPr>
          </w:p>
        </w:tc>
        <w:tc>
          <w:tcPr>
            <w:tcW w:w="24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0000EE"/>
                <w:w w:val="74"/>
              </w:rPr>
              <w:t>4</w:t>
            </w:r>
            <w:r>
              <w:rPr>
                <w:rFonts w:ascii="Times New Roman" w:cs="Times New Roman" w:eastAsia="Times New Roman" w:hAnsi="Times New Roman"/>
                <w:sz w:val="18"/>
                <w:szCs w:val="18"/>
                <w:color w:val="000000"/>
                <w:w w:val="74"/>
              </w:rPr>
              <w:t>-</w:t>
            </w:r>
            <w:r>
              <w:rPr>
                <w:rFonts w:ascii="Times New Roman" w:cs="Times New Roman" w:eastAsia="Times New Roman" w:hAnsi="Times New Roman"/>
                <w:sz w:val="18"/>
                <w:szCs w:val="18"/>
                <w:color w:val="0000EE"/>
                <w:w w:val="74"/>
              </w:rPr>
              <w:t>5</w:t>
            </w:r>
          </w:p>
        </w:tc>
        <w:tc>
          <w:tcPr>
            <w:tcW w:w="2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95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Equity for the Three Months Ended March 31, 2026 and 2025 (Unaudited)</w:t>
            </w:r>
          </w:p>
        </w:tc>
        <w:tc>
          <w:tcPr>
            <w:tcW w:w="920" w:type="dxa"/>
            <w:vAlign w:val="bottom"/>
            <w:gridSpan w:val="6"/>
          </w:tcPr>
          <w:p>
            <w:pPr>
              <w:jc w:val="center"/>
              <w:ind w:left="730"/>
              <w:spacing w:after="0"/>
              <w:rPr>
                <w:sz w:val="20"/>
                <w:szCs w:val="20"/>
                <w:color w:val="auto"/>
              </w:rPr>
            </w:pPr>
            <w:r>
              <w:rPr>
                <w:rFonts w:ascii="Times New Roman" w:cs="Times New Roman" w:eastAsia="Times New Roman" w:hAnsi="Times New Roman"/>
                <w:sz w:val="18"/>
                <w:szCs w:val="18"/>
                <w:color w:val="0000EE"/>
              </w:rPr>
              <w:t>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49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418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gridSpan w:val="2"/>
          </w:tcPr>
          <w:p>
            <w:pPr>
              <w:spacing w:after="0"/>
              <w:rPr>
                <w:sz w:val="24"/>
                <w:szCs w:val="24"/>
                <w:color w:val="auto"/>
              </w:rPr>
            </w:pPr>
          </w:p>
        </w:tc>
        <w:tc>
          <w:tcPr>
            <w:tcW w:w="3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23</w:t>
            </w:r>
          </w:p>
        </w:tc>
        <w:tc>
          <w:tcPr>
            <w:tcW w:w="2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70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2960" w:type="dxa"/>
            <w:vAlign w:val="bottom"/>
            <w:gridSpan w:val="4"/>
          </w:tcPr>
          <w:p>
            <w:pPr>
              <w:spacing w:after="0"/>
              <w:rPr>
                <w:sz w:val="24"/>
                <w:szCs w:val="24"/>
                <w:color w:val="auto"/>
              </w:rPr>
            </w:pPr>
          </w:p>
        </w:tc>
        <w:tc>
          <w:tcPr>
            <w:tcW w:w="1260" w:type="dxa"/>
            <w:vAlign w:val="bottom"/>
            <w:gridSpan w:val="8"/>
          </w:tcPr>
          <w:p>
            <w:pPr>
              <w:jc w:val="center"/>
              <w:ind w:left="390"/>
              <w:spacing w:after="0"/>
              <w:rPr>
                <w:sz w:val="20"/>
                <w:szCs w:val="20"/>
                <w:color w:val="auto"/>
              </w:rPr>
            </w:pPr>
            <w:r>
              <w:rPr>
                <w:rFonts w:ascii="Times New Roman" w:cs="Times New Roman" w:eastAsia="Times New Roman" w:hAnsi="Times New Roman"/>
                <w:sz w:val="18"/>
                <w:szCs w:val="18"/>
                <w:color w:val="0000EE"/>
                <w:w w:val="99"/>
              </w:rPr>
              <w:t>24</w:t>
            </w:r>
            <w:r>
              <w:rPr>
                <w:rFonts w:ascii="Times New Roman" w:cs="Times New Roman" w:eastAsia="Times New Roman" w:hAnsi="Times New Roman"/>
                <w:sz w:val="18"/>
                <w:szCs w:val="18"/>
                <w:color w:val="000000"/>
                <w:w w:val="99"/>
              </w:rPr>
              <w:t>-</w:t>
            </w:r>
            <w:r>
              <w:rPr>
                <w:rFonts w:ascii="Times New Roman" w:cs="Times New Roman" w:eastAsia="Times New Roman" w:hAnsi="Times New Roman"/>
                <w:sz w:val="18"/>
                <w:szCs w:val="18"/>
                <w:color w:val="0000EE"/>
                <w:w w:val="99"/>
              </w:rPr>
              <w:t>35</w:t>
            </w: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r>
      <w:tr>
        <w:trPr>
          <w:trHeight w:val="412"/>
        </w:trPr>
        <w:tc>
          <w:tcPr>
            <w:tcW w:w="49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8"/>
              </w:rPr>
              <w:t>Item 3. Quantitative and Qualitative Disclosures About Market Risk</w:t>
            </w:r>
          </w:p>
        </w:tc>
        <w:tc>
          <w:tcPr>
            <w:tcW w:w="2120" w:type="dxa"/>
            <w:vAlign w:val="bottom"/>
            <w:gridSpan w:val="2"/>
          </w:tcPr>
          <w:p>
            <w:pPr>
              <w:spacing w:after="0"/>
              <w:rPr>
                <w:sz w:val="24"/>
                <w:szCs w:val="24"/>
                <w:color w:val="auto"/>
              </w:rPr>
            </w:pPr>
          </w:p>
        </w:tc>
        <w:tc>
          <w:tcPr>
            <w:tcW w:w="29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EE"/>
                <w:w w:val="99"/>
              </w:rPr>
              <w:t>35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080" w:type="dxa"/>
            <w:vAlign w:val="bottom"/>
            <w:tcBorders>
              <w:left w:val="single" w:sz="8" w:color="0000EE"/>
            </w:tcBorders>
            <w:gridSpan w:val="6"/>
          </w:tcPr>
          <w:p>
            <w:pPr>
              <w:spacing w:after="0" w:line="20" w:lineRule="exact"/>
              <w:rPr>
                <w:sz w:val="1"/>
                <w:szCs w:val="1"/>
                <w:color w:val="auto"/>
              </w:rPr>
            </w:pPr>
          </w:p>
        </w:tc>
        <w:tc>
          <w:tcPr>
            <w:tcW w:w="800" w:type="dxa"/>
            <w:vAlign w:val="bottom"/>
            <w:tcBorders>
              <w:right w:val="single" w:sz="8" w:color="0000EE"/>
            </w:tcBorders>
            <w:gridSpan w:val="3"/>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2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8"/>
              </w:rPr>
              <w:t>Item 4. Controls and Procedures</w:t>
            </w:r>
          </w:p>
        </w:tc>
        <w:tc>
          <w:tcPr>
            <w:tcW w:w="2560" w:type="dxa"/>
            <w:vAlign w:val="bottom"/>
            <w:gridSpan w:val="5"/>
          </w:tcPr>
          <w:p>
            <w:pPr>
              <w:spacing w:after="0"/>
              <w:rPr>
                <w:sz w:val="24"/>
                <w:szCs w:val="24"/>
                <w:color w:val="auto"/>
              </w:rPr>
            </w:pPr>
          </w:p>
        </w:tc>
        <w:tc>
          <w:tcPr>
            <w:tcW w:w="5080" w:type="dxa"/>
            <w:vAlign w:val="bottom"/>
            <w:gridSpan w:val="6"/>
          </w:tcPr>
          <w:p>
            <w:pPr>
              <w:spacing w:after="0"/>
              <w:rPr>
                <w:sz w:val="24"/>
                <w:szCs w:val="24"/>
                <w:color w:val="auto"/>
              </w:rPr>
            </w:pPr>
          </w:p>
        </w:tc>
        <w:tc>
          <w:tcPr>
            <w:tcW w:w="92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color w:val="0000EE"/>
                <w:w w:val="99"/>
              </w:rPr>
              <w:t>35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2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720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2"/>
        </w:trPr>
        <w:tc>
          <w:tcPr>
            <w:tcW w:w="18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7"/>
              </w:rPr>
              <w:t>Item 1. Legal Proceedings</w:t>
            </w:r>
          </w:p>
        </w:tc>
        <w:tc>
          <w:tcPr>
            <w:tcW w:w="8100" w:type="dxa"/>
            <w:vAlign w:val="bottom"/>
            <w:gridSpan w:val="12"/>
          </w:tcPr>
          <w:p>
            <w:pPr>
              <w:spacing w:after="0"/>
              <w:rPr>
                <w:sz w:val="24"/>
                <w:szCs w:val="24"/>
                <w:color w:val="auto"/>
              </w:rPr>
            </w:pPr>
          </w:p>
        </w:tc>
        <w:tc>
          <w:tcPr>
            <w:tcW w:w="92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color w:val="0000EE"/>
                <w:w w:val="99"/>
              </w:rPr>
              <w:t>35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800" w:type="dxa"/>
            <w:vAlign w:val="bottom"/>
            <w:tcBorders>
              <w:right w:val="single" w:sz="8" w:color="0000EE"/>
            </w:tcBorders>
            <w:gridSpan w:val="3"/>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6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280" w:type="dxa"/>
            <w:vAlign w:val="bottom"/>
          </w:tcPr>
          <w:p>
            <w:pPr>
              <w:spacing w:after="0"/>
              <w:rPr>
                <w:sz w:val="24"/>
                <w:szCs w:val="24"/>
                <w:color w:val="auto"/>
              </w:rPr>
            </w:pPr>
          </w:p>
        </w:tc>
        <w:tc>
          <w:tcPr>
            <w:tcW w:w="8100" w:type="dxa"/>
            <w:vAlign w:val="bottom"/>
            <w:gridSpan w:val="12"/>
          </w:tcPr>
          <w:p>
            <w:pPr>
              <w:spacing w:after="0"/>
              <w:rPr>
                <w:sz w:val="24"/>
                <w:szCs w:val="24"/>
                <w:color w:val="auto"/>
              </w:rPr>
            </w:pPr>
          </w:p>
        </w:tc>
        <w:tc>
          <w:tcPr>
            <w:tcW w:w="92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color w:val="0000EE"/>
                <w:w w:val="99"/>
              </w:rPr>
              <w:t>35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800" w:type="dxa"/>
            <w:vAlign w:val="bottom"/>
            <w:tcBorders>
              <w:right w:val="single" w:sz="8" w:color="0000EE"/>
            </w:tcBorders>
            <w:gridSpan w:val="3"/>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99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92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color w:val="0000EE"/>
                <w:w w:val="99"/>
              </w:rPr>
              <w:t>35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800" w:type="dxa"/>
            <w:vAlign w:val="bottom"/>
            <w:tcBorders>
              <w:right w:val="single" w:sz="8" w:color="0000EE"/>
            </w:tcBorders>
            <w:gridSpan w:val="3"/>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49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5080" w:type="dxa"/>
            <w:vAlign w:val="bottom"/>
            <w:gridSpan w:val="6"/>
          </w:tcPr>
          <w:p>
            <w:pPr>
              <w:spacing w:after="0"/>
              <w:rPr>
                <w:sz w:val="24"/>
                <w:szCs w:val="24"/>
                <w:color w:val="auto"/>
              </w:rPr>
            </w:pPr>
          </w:p>
        </w:tc>
        <w:tc>
          <w:tcPr>
            <w:tcW w:w="92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color w:val="0000EE"/>
                <w:w w:val="99"/>
              </w:rPr>
              <w:t>35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left w:val="single" w:sz="8" w:color="0000EE"/>
            </w:tcBorders>
            <w:gridSpan w:val="3"/>
            <w:shd w:val="clear" w:color="auto" w:fill="0000EE"/>
          </w:tcPr>
          <w:p>
            <w:pPr>
              <w:spacing w:after="0" w:line="20" w:lineRule="exact"/>
              <w:rPr>
                <w:sz w:val="1"/>
                <w:szCs w:val="1"/>
                <w:color w:val="auto"/>
              </w:rPr>
            </w:pPr>
          </w:p>
        </w:tc>
        <w:tc>
          <w:tcPr>
            <w:tcW w:w="7100" w:type="dxa"/>
            <w:vAlign w:val="bottom"/>
            <w:gridSpan w:val="8"/>
          </w:tcPr>
          <w:p>
            <w:pPr>
              <w:spacing w:after="0" w:line="20" w:lineRule="exact"/>
              <w:rPr>
                <w:sz w:val="1"/>
                <w:szCs w:val="1"/>
                <w:color w:val="auto"/>
              </w:rPr>
            </w:pPr>
          </w:p>
        </w:tc>
        <w:tc>
          <w:tcPr>
            <w:tcW w:w="800" w:type="dxa"/>
            <w:vAlign w:val="bottom"/>
            <w:tcBorders>
              <w:right w:val="single" w:sz="8" w:color="0000EE"/>
            </w:tcBorders>
            <w:gridSpan w:val="3"/>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23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8"/>
              </w:rPr>
              <w:t>Item 4. Mine Safety Disclosures</w:t>
            </w:r>
          </w:p>
        </w:tc>
        <w:tc>
          <w:tcPr>
            <w:tcW w:w="540" w:type="dxa"/>
            <w:vAlign w:val="bottom"/>
            <w:gridSpan w:val="3"/>
          </w:tcPr>
          <w:p>
            <w:pPr>
              <w:spacing w:after="0"/>
              <w:rPr>
                <w:sz w:val="24"/>
                <w:szCs w:val="24"/>
                <w:color w:val="auto"/>
              </w:rPr>
            </w:pPr>
          </w:p>
        </w:tc>
        <w:tc>
          <w:tcPr>
            <w:tcW w:w="7100" w:type="dxa"/>
            <w:vAlign w:val="bottom"/>
            <w:gridSpan w:val="8"/>
          </w:tcPr>
          <w:p>
            <w:pPr>
              <w:spacing w:after="0"/>
              <w:rPr>
                <w:sz w:val="24"/>
                <w:szCs w:val="24"/>
                <w:color w:val="auto"/>
              </w:rPr>
            </w:pPr>
          </w:p>
        </w:tc>
        <w:tc>
          <w:tcPr>
            <w:tcW w:w="92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color w:val="0000EE"/>
                <w:w w:val="99"/>
              </w:rPr>
              <w:t>35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800" w:type="dxa"/>
            <w:vAlign w:val="bottom"/>
            <w:tcBorders>
              <w:right w:val="single" w:sz="8" w:color="0000EE"/>
            </w:tcBorders>
            <w:gridSpan w:val="3"/>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8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8"/>
              </w:rPr>
              <w:t>Item 5. Other Information</w:t>
            </w:r>
          </w:p>
        </w:tc>
        <w:tc>
          <w:tcPr>
            <w:tcW w:w="460" w:type="dxa"/>
            <w:vAlign w:val="bottom"/>
          </w:tcPr>
          <w:p>
            <w:pPr>
              <w:spacing w:after="0"/>
              <w:rPr>
                <w:sz w:val="24"/>
                <w:szCs w:val="24"/>
                <w:color w:val="auto"/>
              </w:rPr>
            </w:pPr>
          </w:p>
        </w:tc>
        <w:tc>
          <w:tcPr>
            <w:tcW w:w="7640" w:type="dxa"/>
            <w:vAlign w:val="bottom"/>
            <w:gridSpan w:val="11"/>
          </w:tcPr>
          <w:p>
            <w:pPr>
              <w:spacing w:after="0"/>
              <w:rPr>
                <w:sz w:val="24"/>
                <w:szCs w:val="24"/>
                <w:color w:val="auto"/>
              </w:rPr>
            </w:pPr>
          </w:p>
        </w:tc>
        <w:tc>
          <w:tcPr>
            <w:tcW w:w="92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color w:val="0000EE"/>
                <w:w w:val="99"/>
              </w:rPr>
              <w:t>35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8100" w:type="dxa"/>
            <w:vAlign w:val="bottom"/>
            <w:gridSpan w:val="12"/>
          </w:tcPr>
          <w:p>
            <w:pPr>
              <w:spacing w:after="0" w:line="20" w:lineRule="exact"/>
              <w:rPr>
                <w:sz w:val="1"/>
                <w:szCs w:val="1"/>
                <w:color w:val="auto"/>
              </w:rPr>
            </w:pPr>
          </w:p>
        </w:tc>
        <w:tc>
          <w:tcPr>
            <w:tcW w:w="800" w:type="dxa"/>
            <w:vAlign w:val="bottom"/>
            <w:tcBorders>
              <w:right w:val="single" w:sz="8" w:color="0000EE"/>
            </w:tcBorders>
            <w:gridSpan w:val="3"/>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8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8100" w:type="dxa"/>
            <w:vAlign w:val="bottom"/>
            <w:gridSpan w:val="12"/>
          </w:tcPr>
          <w:p>
            <w:pPr>
              <w:spacing w:after="0"/>
              <w:rPr>
                <w:sz w:val="24"/>
                <w:szCs w:val="24"/>
                <w:color w:val="auto"/>
              </w:rPr>
            </w:pPr>
          </w:p>
        </w:tc>
        <w:tc>
          <w:tcPr>
            <w:tcW w:w="92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color w:val="0000EE"/>
                <w:w w:val="99"/>
              </w:rPr>
              <w:t>36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20" w:type="dxa"/>
            <w:vAlign w:val="bottom"/>
            <w:gridSpan w:val="15"/>
          </w:tcPr>
          <w:p>
            <w:pPr>
              <w:spacing w:after="0" w:line="20" w:lineRule="exact"/>
              <w:rPr>
                <w:sz w:val="1"/>
                <w:szCs w:val="1"/>
                <w:color w:val="auto"/>
              </w:rPr>
            </w:pPr>
          </w:p>
        </w:tc>
        <w:tc>
          <w:tcPr>
            <w:tcW w:w="800" w:type="dxa"/>
            <w:vAlign w:val="bottom"/>
            <w:tcBorders>
              <w:right w:val="single" w:sz="8" w:color="0000EE"/>
            </w:tcBorders>
            <w:gridSpan w:val="3"/>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820" w:type="dxa"/>
            <w:vAlign w:val="bottom"/>
            <w:gridSpan w:val="15"/>
          </w:tcPr>
          <w:p>
            <w:pPr>
              <w:spacing w:after="0"/>
              <w:rPr>
                <w:sz w:val="24"/>
                <w:szCs w:val="24"/>
                <w:color w:val="auto"/>
              </w:rPr>
            </w:pPr>
          </w:p>
        </w:tc>
        <w:tc>
          <w:tcPr>
            <w:tcW w:w="920" w:type="dxa"/>
            <w:vAlign w:val="bottom"/>
            <w:gridSpan w:val="6"/>
          </w:tcPr>
          <w:p>
            <w:pPr>
              <w:jc w:val="center"/>
              <w:ind w:left="650"/>
              <w:spacing w:after="0"/>
              <w:rPr>
                <w:sz w:val="20"/>
                <w:szCs w:val="20"/>
                <w:color w:val="auto"/>
              </w:rPr>
            </w:pPr>
            <w:r>
              <w:rPr>
                <w:rFonts w:ascii="Times New Roman" w:cs="Times New Roman" w:eastAsia="Times New Roman" w:hAnsi="Times New Roman"/>
                <w:sz w:val="18"/>
                <w:szCs w:val="18"/>
                <w:color w:val="0000EE"/>
                <w:w w:val="99"/>
              </w:rPr>
              <w:t>37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810"/>
        </w:trPr>
        <w:tc>
          <w:tcPr>
            <w:tcW w:w="4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Interim Financial Statements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Public Company Accounting Oversight Board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had historically been unable to inspect our auditor in relation to their audit work performed for our financial statements and the inability of the PCAOB to conduct inspections over our auditor deprived our investors of the benefits of such inspections.</w:t>
      </w:r>
    </w:p>
    <w:p>
      <w:pPr>
        <w:spacing w:after="0" w:line="17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 our SEC filings,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Hong Kong Special Administrative Region of the PRC ("Hong Kong"), China, a jurisdiction where the PCAOB was unable to conduct inspections and investigations before 2022. As a result, we and investors in our securities were deprived of the benefits of such PCAOB inspections. On December 15, 2022, the PCAOB announced that it was able to secure complete access to inspect and investigate PCAOB-registered public accounting firms headquartered in China mainland and Hong Kong in 2022. However, the inability of the PCAOB to conduct inspections of auditors in Hong Kong in the past made it more difficult to evaluate the effectiveness of our independent registered public accounting firm’s audit procedures or quality control procedures as compared to auditors outside of China mainland and Hong Kong that have been subject to the PCAOB inspections, which could cause investors and potential investors in our securities to lose confidence in our audit procedures and reported financial information and the quality of our financial statements.</w:t>
      </w:r>
    </w:p>
    <w:p>
      <w:pPr>
        <w:spacing w:after="0" w:line="19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b w:val="1"/>
          <w:bCs w:val="1"/>
          <w:color w:val="auto"/>
        </w:rPr>
        <w:t>Our common stock may be delisted and prohibited from trading in the United States under the Holding Foreign Companies Accountable Act, or the HFCAA, as amended by the Accelerating Holding Foreign Companies Accountable Act, if the PCAOB is unable to inspect or investigate completely auditors located in China mainland and Hong Kong. The delisting of our common stock or the threat of their being delisted could cause the value of our common stock to significantly decline or be worthless, and thus you could lose all or substantial portion of your investment.</w:t>
      </w:r>
    </w:p>
    <w:p>
      <w:pPr>
        <w:spacing w:after="0" w:line="16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December 18, 2020, the Holding Foreign Companies Accountable Act, or the HFCAA, was signed into law that states if the SEC determines that issuers have filed audit reports issued by a registered public accounting firm that has not been subject to PCAOB inspection for three consecutive years beginning in 2021, the SEC shall prohibit its common stock from being traded on a national securities exchange or in the over-the-counter trading market in the U.S. Furthermore, on June 22, 2021, the U.S. Senate passed the Accelerating Holding Foreign Companies Accountable Act, to prohibit securities of any registrant from being listed on any of the U.S. securities exchanges or traded over-the-counter if the auditor of the registrant’s financial statements is not subject to PCAOB inspection for two consecutive years, instead of three consecutive years as enacted in the HFCAA. On December 2, 2021, the SEC adopted final amendments implementing the disclosure and submission requirements of the HFCAA, pursuant to which the SEC will identify an issuer as a “Commission-Identified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 On December 29, 2022, the Accelerating Holding Foreign Companies Accountable Act was signed into law.</w:t>
      </w:r>
    </w:p>
    <w:p>
      <w:pPr>
        <w:spacing w:after="0" w:line="19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On December 16, 2021, the PCAOB issued a HFCAA Determination Report (the “2021 PCAOB Determinations”) to notify the SEC of its determination that the PCAOB was unable to inspect or investigate completely registered public accounting firms headquartered in China mainland and Hong Kong because of positions taken by the Chinese authorities, and our auditor was subject to this determination. On May 13, 2022, the SEC conclusively identified us as a Commission-Identified Issuer under the HFCAA following the filing of our annual report on Form 10-K for the fiscal year ended December 31, 2021.</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on agreement governing on inspections of audit firms based in mainland China and Hong Kong, with China Securities Regulatory Commission (“CSRC”) and Ministry of Finance (“MOF”) of the PRC, in regarding to governing inspections and investigations of audit firms headquartered in mainland China and Hong Kong (the “Agreement”). As stated in the Agreement, the Chinese authorities committed that the PCAOB has direct access to view complete audit work papers under its inspections or investigations and has sole discretion to the selected audit firms and audit engagements. The Agreement opens access for the PCAOB to inspect and investigate the registered public accounting firms in mainland China and Hong Kong completely. The PCAOB then thoroughly tested compliance with every aspect of the Agreement necessary to determine complete access. This included sending a team of PCAOB staff to conduct on-site inspections and investigations in Hong Kong over a nine-week period from September to November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 w:name="page4"/>
    <w:bookmarkEnd w:id="3"/>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On December 15, 2022, the PCAOB issued its 2022 HFCAA Determination Report to notify the SEC of its determination that the PCAOB was able to secure complete access to inspect and investigate PCAOB-registered public accounting firms headquartered in China mainland and Hong Kong completely in 2022. The PCAOB Board vacated its 2021 PCAOB Determinations that the PCAOB was unable to inspect or investigate completely registered public accounting firms headquartered in China mainland and Hong Kong. For this reason, we do not expect to be identified as a Commission-Identified Issuer following the filing of our annual report for the fiscal year ended December 31, 2025. However, whether the PCAOB will continue to be able to satisfactorily conduct inspections of PCAOB-registered public accounting firms headquartered in China mainland and Hong Kong is subject to uncertainty and depends on a number of factors out of our, and our auditor’s, control.</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PCAOB is continuing to demand complete access in China mainland and Hong Kong moving forward and is already making plans to resume regular inspections in early 2023 and beyond, as well as to continue pursuing ongoing investigations and initiate new investigations as needed. The PCAOB does not have to wait another year to reassess its determinations. Should the PRC authorities obstruct the PCAOB’s access to inspect or investigate completely in any way and at any point, the PCAOB will act immediately to consider the need to issue new determinations consistent with the HFCAA.</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cannot assure you that our auditor will not be determined as a register public accounting firm that the PCAOB is unable to inspect or investigate completely for two consecutive years because of positions taken by the Chinese authorities and/or any other causes in the future. If the PCAOB in the future again determines that it is unable to inspect and investigate completely auditors in China mainland and Hong Kong, we may be identified as a Commission-Identified Issuer accordingly. If this happens, Nasdaq may determine to delist our common stock, and there is no certainty that we will be able to continue listing our common stock on other non-U.S. stock exchanges or that an active market for our common stock will immediately develop outside of the U.S. The prohibiting from trading in the United States or delisting of our common stock or the threat of their being delisted could cause the value of our common stock to significantly decline or be worthless, and thus you could lose all or substantial portion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7"/>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(US $)</w:t>
            </w:r>
          </w:p>
        </w:tc>
      </w:t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 of $5,036 and $5,137, respectively</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 and deposit to suppliers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 net</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830</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7,417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7,556</w:t>
            </w:r>
          </w:p>
        </w:tc>
      </w:tr>
      <w:tr>
        <w:trPr>
          <w:trHeight w:val="210"/>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 for investment</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9,463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9,678</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from customers *</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other accruals *</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 *</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 *</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566</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4,895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5,072</w:t>
            </w:r>
          </w:p>
        </w:tc>
      </w:tr>
      <w:tr>
        <w:trPr>
          <w:trHeight w:val="426"/>
        </w:trPr>
        <w:tc>
          <w:tcPr>
            <w:tcW w:w="80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5" w:name="page6"/>
    <w:bookmarkEnd w:id="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(CONTINUED)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7"/>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(US $)</w:t>
            </w:r>
          </w:p>
        </w:tc>
      </w:t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borrowing from a related party</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5,090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5,275</w:t>
            </w: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ZW Data Action Technologies Inc.’s stockholders’ equity</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98"/>
        </w:trPr>
        <w:tc>
          <w:tcPr>
            <w:tcW w:w="8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(US$0.001 par value; authorized 12,500,000 shares; issued and outstanding 3,268,429</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at March 31, 2026 and December 31, 2025)</w:t>
            </w:r>
          </w:p>
        </w:tc>
        <w:tc>
          <w:tcPr>
            <w:tcW w:w="1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to be issued</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65,346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Statutory reserves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(65,221)</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1,197</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4,343</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4,403</w:t>
            </w:r>
          </w:p>
        </w:tc>
      </w:tr>
      <w:tr>
        <w:trPr>
          <w:trHeight w:val="216"/>
        </w:trPr>
        <w:tc>
          <w:tcPr>
            <w:tcW w:w="8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9,463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9,678</w:t>
            </w: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Liabilities recognized as a result of consolidating these VIEs do not represent additional claims on the Company’s general assets (Note 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7"/>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(US $)</w:t>
            </w:r>
          </w:p>
        </w:tc>
      </w:tr>
      <w:tr>
        <w:trPr>
          <w:trHeight w:val="238"/>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1,492</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160</w:t>
            </w:r>
          </w:p>
        </w:tc>
      </w:tr>
      <w:tr>
        <w:trPr>
          <w:trHeight w:val="210"/>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739</w:t>
            </w:r>
          </w:p>
        </w:tc>
      </w:tr>
      <w:tr>
        <w:trPr>
          <w:trHeight w:val="209"/>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Income/(Loss) from operations</w:t>
            </w: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r>
      <w:tr>
        <w:trPr>
          <w:trHeight w:val="216"/>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Income/(Loss) before income tax benefit/(expense) and noncontrolling interest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 attributable to ZW Data Action Technologies Inc.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w:t>
            </w:r>
          </w:p>
        </w:tc>
      </w:tr>
      <w:tr>
        <w:trPr>
          <w:trHeight w:val="197"/>
        </w:trPr>
        <w:tc>
          <w:tcPr>
            <w:tcW w:w="80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income/(loss)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(546)</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ZW Data Action Technologies Inc.</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Earnings/(loss) per share</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Earnings/(loss) per common share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0.04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(0.23)</w:t>
            </w:r>
          </w:p>
        </w:tc>
      </w:tr>
      <w:tr>
        <w:trPr>
          <w:trHeight w:val="196"/>
        </w:trPr>
        <w:tc>
          <w:tcPr>
            <w:tcW w:w="80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3,268,429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2,301,205</w:t>
            </w:r>
          </w:p>
        </w:tc>
      </w:tr>
      <w:tr>
        <w:trPr>
          <w:trHeight w:val="413"/>
        </w:trPr>
        <w:tc>
          <w:tcPr>
            <w:tcW w:w="8180" w:type="dxa"/>
            <w:vAlign w:val="bottom"/>
            <w:gridSpan w:val="2"/>
          </w:tcPr>
          <w:p>
            <w:pPr>
              <w:ind w:left="3200"/>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2"/>
        </w:trPr>
        <w:tc>
          <w:tcPr>
            <w:tcW w:w="80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sectPr>
      </w:pPr>
    </w:p>
    <w:bookmarkStart w:id="7" w:name="page8"/>
    <w:bookmarkEnd w:id="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55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7"/>
        </w:trPr>
        <w:tc>
          <w:tcPr>
            <w:tcW w:w="55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center"/>
              <w:ind w:right="2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 $)</w:t>
            </w:r>
          </w:p>
        </w:tc>
      </w:tr>
      <w:tr>
        <w:trPr>
          <w:trHeight w:val="238"/>
        </w:trPr>
        <w:tc>
          <w:tcPr>
            <w:tcW w:w="5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income/(loss)</w:t>
            </w:r>
          </w:p>
        </w:tc>
        <w:tc>
          <w:tcPr>
            <w:tcW w:w="2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(Reverse)/Provision for allowances for credit losses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non-operating (income)/losses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 and deposit to suppliers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from customers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other accruals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(984)</w:t>
            </w:r>
          </w:p>
        </w:tc>
      </w:tr>
      <w:tr>
        <w:trPr>
          <w:trHeight w:val="209"/>
        </w:trPr>
        <w:tc>
          <w:tcPr>
            <w:tcW w:w="55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vehicles and office equipment, leasehold improvement</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intellectual property</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short-term loans and interest income from unrelated parties</w:t>
            </w:r>
          </w:p>
        </w:tc>
        <w:tc>
          <w:tcPr>
            <w:tcW w:w="2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1,121</w:t>
            </w: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investing activities</w:t>
            </w:r>
          </w:p>
        </w:tc>
        <w:tc>
          <w:tcPr>
            <w:tcW w:w="2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484</w:t>
            </w:r>
          </w:p>
        </w:tc>
      </w:tr>
      <w:tr>
        <w:trPr>
          <w:trHeight w:val="425"/>
        </w:trPr>
        <w:tc>
          <w:tcPr>
            <w:tcW w:w="5540" w:type="dxa"/>
            <w:vAlign w:val="bottom"/>
          </w:tcPr>
          <w:p>
            <w:pPr>
              <w:spacing w:after="0"/>
              <w:rPr>
                <w:sz w:val="24"/>
                <w:szCs w:val="24"/>
                <w:color w:val="auto"/>
              </w:rPr>
            </w:pPr>
          </w:p>
        </w:tc>
        <w:tc>
          <w:tcPr>
            <w:tcW w:w="246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5"/>
        </w:trPr>
        <w:tc>
          <w:tcPr>
            <w:tcW w:w="554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sectPr>
      </w:pPr>
    </w:p>
    <w:bookmarkStart w:id="8" w:name="page9"/>
    <w:bookmarkEnd w:id="8"/>
    <w:p>
      <w:pPr>
        <w:jc w:val="center"/>
        <w:ind w:left="480" w:right="220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ZW DATA ACTION TECHNOLOGIES INC. CONDENSED CONSOLIDATED STATEMENTS OF CASH FLOWS (CONTINUED) </w:t>
      </w:r>
      <w:r>
        <w:rPr>
          <w:rFonts w:ascii="Times New Roman" w:cs="Times New Roman" w:eastAsia="Times New Roman" w:hAnsi="Times New Roman"/>
          <w:sz w:val="18"/>
          <w:szCs w:val="18"/>
          <w:color w:val="auto"/>
        </w:rPr>
        <w:t>(In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87"/>
        </w:trPr>
        <w:tc>
          <w:tcPr>
            <w:tcW w:w="8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(US $)</w:t>
            </w:r>
          </w:p>
        </w:tc>
      </w:tr>
      <w:tr>
        <w:trPr>
          <w:trHeight w:val="238"/>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from Investors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500</w:t>
            </w:r>
          </w:p>
        </w:tc>
      </w:tr>
      <w:tr>
        <w:trPr>
          <w:trHeight w:val="209"/>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fluctuation on cash and cash equivalents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16"/>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812</w:t>
            </w: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807</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80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Interest expense paid</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Balance, January 1, 2026</w:t>
      </w:r>
    </w:p>
    <w:p>
      <w:pPr>
        <w:spacing w:after="0" w:line="265" w:lineRule="auto"/>
        <w:rPr>
          <w:sz w:val="20"/>
          <w:szCs w:val="20"/>
          <w:color w:val="auto"/>
        </w:rPr>
      </w:pPr>
      <w:r>
        <w:rPr>
          <w:rFonts w:ascii="Times New Roman" w:cs="Times New Roman" w:eastAsia="Times New Roman" w:hAnsi="Times New Roman"/>
          <w:sz w:val="17"/>
          <w:szCs w:val="17"/>
          <w:color w:val="auto"/>
        </w:rPr>
        <w:t>Net income for the period Foreign currency translation adjustment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br w:type="column"/>
      </w:r>
    </w:p>
    <w:p>
      <w:pPr>
        <w:jc w:val="center"/>
        <w:ind w:left="1500" w:right="10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ZW DATA ACTION TECHNOLOGIES INC. CONDENSED CONSOLIDATED STATEMENTS OF CHANGES IN EQUITY FOR THE THREE MONTHS ENDED MARCH 31, 2026 and 2025 </w:t>
      </w:r>
      <w:r>
        <w:rPr>
          <w:rFonts w:ascii="Times New Roman" w:cs="Times New Roman" w:eastAsia="Times New Roman" w:hAnsi="Times New Roman"/>
          <w:sz w:val="18"/>
          <w:szCs w:val="18"/>
          <w:color w:val="auto"/>
        </w:rPr>
        <w:t>(In thousands, except for number of shares)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0" w:type="dxa"/>
            <w:vAlign w:val="bottom"/>
          </w:tcPr>
          <w:p>
            <w:pPr>
              <w:spacing w:after="0"/>
              <w:rPr>
                <w:sz w:val="18"/>
                <w:szCs w:val="18"/>
                <w:color w:val="auto"/>
              </w:rPr>
            </w:pPr>
          </w:p>
        </w:tc>
        <w:tc>
          <w:tcPr>
            <w:tcW w:w="9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to be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8"/>
                <w:szCs w:val="18"/>
                <w:color w:val="auto"/>
              </w:rPr>
            </w:pPr>
          </w:p>
        </w:tc>
        <w:tc>
          <w:tcPr>
            <w:tcW w:w="98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Statutory</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2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8"/>
                <w:szCs w:val="18"/>
                <w:color w:val="auto"/>
              </w:rPr>
            </w:pPr>
          </w:p>
        </w:tc>
        <w:tc>
          <w:tcPr>
            <w:tcW w:w="10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00" w:type="dxa"/>
            <w:vAlign w:val="bottom"/>
          </w:tcPr>
          <w:p>
            <w:pPr>
              <w:spacing w:after="0"/>
              <w:rPr>
                <w:sz w:val="18"/>
                <w:szCs w:val="18"/>
                <w:color w:val="auto"/>
              </w:rPr>
            </w:pPr>
          </w:p>
        </w:tc>
        <w:tc>
          <w:tcPr>
            <w:tcW w:w="11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18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reserves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income/(loss)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187"/>
        </w:trPr>
        <w:tc>
          <w:tcPr>
            <w:tcW w:w="9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 $)</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(US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(US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(US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(US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(US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(US $)</w:t>
            </w:r>
          </w:p>
        </w:tc>
      </w:tr>
      <w:tr>
        <w:trPr>
          <w:trHeight w:val="864"/>
        </w:trPr>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3,268,429</w:t>
            </w:r>
          </w:p>
        </w:tc>
        <w:tc>
          <w:tcPr>
            <w:tcW w:w="84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65,346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2,598</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(65,221)</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4,403</w:t>
            </w:r>
          </w:p>
        </w:tc>
      </w:tr>
      <w:tr>
        <w:trPr>
          <w:trHeight w:val="432"/>
        </w:trPr>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r>
      <w:tr>
        <w:trPr>
          <w:trHeight w:val="851"/>
        </w:trPr>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817"/>
        </w:trPr>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3,268,429</w:t>
            </w:r>
          </w:p>
        </w:tc>
        <w:tc>
          <w:tcPr>
            <w:tcW w:w="84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65,346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2,598</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(65,095)</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4,373</w:t>
            </w: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-1782445</wp:posOffset>
            </wp:positionV>
            <wp:extent cx="713232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-1096645</wp:posOffset>
            </wp:positionV>
            <wp:extent cx="7132320"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 w:space="160"/>
            <w:col w:w="10100"/>
          </w:cols>
          <w:pgMar w:left="320" w:top="603" w:right="339" w:bottom="1440" w:gutter="0" w:footer="0" w:header="0"/>
        </w:sect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00" w:type="dxa"/>
            <w:vAlign w:val="bottom"/>
          </w:tcPr>
          <w:p>
            <w:pPr>
              <w:spacing w:after="0"/>
              <w:rPr>
                <w:sz w:val="18"/>
                <w:szCs w:val="18"/>
                <w:color w:val="auto"/>
              </w:rPr>
            </w:pPr>
          </w:p>
        </w:tc>
        <w:tc>
          <w:tcPr>
            <w:tcW w:w="10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Statutory</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12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8"/>
                <w:szCs w:val="18"/>
                <w:color w:val="auto"/>
              </w:rPr>
            </w:pPr>
          </w:p>
        </w:tc>
        <w:tc>
          <w:tcPr>
            <w:tcW w:w="100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00" w:type="dxa"/>
            <w:vAlign w:val="bottom"/>
          </w:tcPr>
          <w:p>
            <w:pPr>
              <w:spacing w:after="0"/>
              <w:rPr>
                <w:sz w:val="18"/>
                <w:szCs w:val="18"/>
                <w:color w:val="auto"/>
              </w:rPr>
            </w:pPr>
          </w:p>
        </w:tc>
        <w:tc>
          <w:tcPr>
            <w:tcW w:w="11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2040" w:type="dxa"/>
            <w:vAlign w:val="bottom"/>
          </w:tcPr>
          <w:p>
            <w:pPr>
              <w:spacing w:after="0"/>
              <w:rPr>
                <w:sz w:val="20"/>
                <w:szCs w:val="20"/>
                <w:color w:val="auto"/>
              </w:rPr>
            </w:pPr>
          </w:p>
        </w:tc>
        <w:tc>
          <w:tcPr>
            <w:tcW w:w="18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reserves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income/(loss)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7"/>
        </w:trPr>
        <w:tc>
          <w:tcPr>
            <w:tcW w:w="2040" w:type="dxa"/>
            <w:vAlign w:val="bottom"/>
          </w:tcPr>
          <w:p>
            <w:pPr>
              <w:spacing w:after="0"/>
              <w:rPr>
                <w:sz w:val="16"/>
                <w:szCs w:val="16"/>
                <w:color w:val="auto"/>
              </w:rPr>
            </w:pPr>
          </w:p>
        </w:tc>
        <w:tc>
          <w:tcPr>
            <w:tcW w:w="10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 $)</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(US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(US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(US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(US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(US $)</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2025</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2,301,205</w:t>
            </w:r>
          </w:p>
        </w:tc>
        <w:tc>
          <w:tcPr>
            <w:tcW w:w="860" w:type="dxa"/>
            <w:vAlign w:val="bottom"/>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63,102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2,598</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(63,451)</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3,718</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198"/>
        </w:trPr>
        <w:tc>
          <w:tcPr>
            <w:tcW w:w="2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Foreign currency</w:t>
            </w:r>
          </w:p>
        </w:tc>
        <w:tc>
          <w:tcPr>
            <w:tcW w:w="10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1"/>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March 31, 2025</w:t>
            </w:r>
          </w:p>
        </w:tc>
        <w:tc>
          <w:tcPr>
            <w:tcW w:w="10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2,301,205</w:t>
            </w:r>
          </w:p>
        </w:tc>
        <w:tc>
          <w:tcPr>
            <w:tcW w:w="86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63,102</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2,598</w:t>
            </w:r>
          </w:p>
        </w:tc>
        <w:tc>
          <w:tcPr>
            <w:tcW w:w="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(63,982)</w:t>
            </w:r>
          </w:p>
        </w:tc>
        <w:tc>
          <w:tcPr>
            <w:tcW w:w="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1,391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3,172</w:t>
            </w:r>
          </w:p>
        </w:tc>
        <w:tc>
          <w:tcPr>
            <w:tcW w:w="0" w:type="dxa"/>
            <w:vAlign w:val="bottom"/>
          </w:tcPr>
          <w:p>
            <w:pPr>
              <w:spacing w:after="0"/>
              <w:rPr>
                <w:sz w:val="1"/>
                <w:szCs w:val="1"/>
                <w:color w:val="auto"/>
              </w:rPr>
            </w:pPr>
          </w:p>
        </w:tc>
      </w:tr>
      <w:tr>
        <w:trPr>
          <w:trHeight w:val="198"/>
        </w:trPr>
        <w:tc>
          <w:tcPr>
            <w:tcW w:w="20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(unaudited)</w:t>
            </w:r>
          </w:p>
        </w:tc>
        <w:tc>
          <w:tcPr>
            <w:tcW w:w="100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type w:val="continuous"/>
        </w:sectPr>
      </w:pPr>
    </w:p>
    <w:bookmarkStart w:id="10" w:name="page11"/>
    <w:bookmarkEnd w:id="10"/>
    <w:p>
      <w:pPr>
        <w:jc w:val="center"/>
        <w:ind w:right="137"/>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37"/>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p>
      <w:pPr>
        <w:ind w:left="323" w:hanging="323"/>
        <w:spacing w:after="0"/>
        <w:tabs>
          <w:tab w:leader="none" w:pos="32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256" w:lineRule="exact"/>
        <w:rPr>
          <w:sz w:val="20"/>
          <w:szCs w:val="20"/>
          <w:color w:val="auto"/>
        </w:rPr>
      </w:pPr>
    </w:p>
    <w:p>
      <w:pPr>
        <w:jc w:val="both"/>
        <w:ind w:left="143" w:right="100"/>
        <w:spacing w:after="0" w:line="254" w:lineRule="auto"/>
        <w:rPr>
          <w:sz w:val="20"/>
          <w:szCs w:val="20"/>
          <w:color w:val="auto"/>
        </w:rPr>
      </w:pPr>
      <w:r>
        <w:rPr>
          <w:rFonts w:ascii="Times New Roman" w:cs="Times New Roman" w:eastAsia="Times New Roman" w:hAnsi="Times New Roman"/>
          <w:sz w:val="18"/>
          <w:szCs w:val="18"/>
          <w:color w:val="auto"/>
        </w:rPr>
        <w:t>ZW Data Action Technologies Inc. (the “Company”) was incorporated in the State of Texas in April 2006 and re-domiciled to become a Nevada corporation in October 2006. On June 26, 2009, the Company consummated a share exchange transaction with China Net Online Media Group Limited (the “Share Exchange”), a company organized under the laws of British Virgin Islands (“China Net BVI”). As a result of the Share Exchange, China Net BVI became a wholly owned subsidiary of the Company and the Company is now a holding company, which, through certain contractual arrangements with operating companies in the People’s Republic of China (the “PRC”) and its other subsidiaries outside of mainland China, is engaged in providing Internet advertising, precision marketing, influencer marketing services as well as the related data and technical services to small and medium enterprises (SMEs). The Company also develops blockchain enabled web/mobile applications and provides software solutions, i.e., Software-as-a-Service (“SaaS”) services for clients, engages in intellectual property (“IP”) licensing services and also artificial intelligence (“AI”) consulting services. As part of an ongoing strategic shift, the Company’s operations are now primarily conducted outside mainland China.</w:t>
      </w:r>
    </w:p>
    <w:p>
      <w:pPr>
        <w:spacing w:after="0" w:line="200" w:lineRule="exact"/>
        <w:rPr>
          <w:sz w:val="20"/>
          <w:szCs w:val="20"/>
          <w:color w:val="auto"/>
        </w:rPr>
      </w:pPr>
    </w:p>
    <w:p>
      <w:pPr>
        <w:spacing w:after="0" w:line="227" w:lineRule="exact"/>
        <w:rPr>
          <w:sz w:val="20"/>
          <w:szCs w:val="20"/>
          <w:color w:val="auto"/>
        </w:rPr>
      </w:pPr>
    </w:p>
    <w:p>
      <w:pPr>
        <w:ind w:left="423" w:hanging="315"/>
        <w:spacing w:after="0"/>
        <w:tabs>
          <w:tab w:leader="none" w:pos="423"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256" w:lineRule="exact"/>
        <w:rPr>
          <w:sz w:val="20"/>
          <w:szCs w:val="20"/>
          <w:color w:val="auto"/>
        </w:rPr>
      </w:pPr>
    </w:p>
    <w:p>
      <w:pPr>
        <w:jc w:val="both"/>
        <w:ind w:left="143" w:right="100"/>
        <w:spacing w:after="0" w:line="261" w:lineRule="auto"/>
        <w:rPr>
          <w:sz w:val="20"/>
          <w:szCs w:val="20"/>
          <w:color w:val="auto"/>
        </w:rPr>
      </w:pPr>
      <w:r>
        <w:rPr>
          <w:rFonts w:ascii="Times New Roman" w:cs="Times New Roman" w:eastAsia="Times New Roman" w:hAnsi="Times New Roman"/>
          <w:sz w:val="18"/>
          <w:szCs w:val="18"/>
          <w:color w:val="auto"/>
        </w:rPr>
        <w:t>The Company is not an operating company in China, but a Nevada holding company with no equity ownership in the VIEs. The Company conducts its operations in China through its PRC subsidiaries, the VIEs, with which the Company has entered into contractual arrangements, and their subsidiaries in China. Summarized below is the information related to the VIEs’ assets and liabilities reported in the Company’s condensed consolidated balance sheets as of March 31, 2026 and December 31, 2025, respectively:</w:t>
      </w:r>
    </w:p>
    <w:p>
      <w:pPr>
        <w:spacing w:after="0" w:line="176" w:lineRule="exact"/>
        <w:rPr>
          <w:sz w:val="20"/>
          <w:szCs w:val="20"/>
          <w:color w:val="auto"/>
        </w:rPr>
      </w:pPr>
    </w:p>
    <w:tbl>
      <w:tblPr>
        <w:tblLayout w:type="fixed"/>
        <w:tblInd w:w="143"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7"/>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r>
      <w:tr>
        <w:trPr>
          <w:trHeight w:val="238"/>
        </w:trPr>
        <w:tc>
          <w:tcPr>
            <w:tcW w:w="7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Prepayment and deposit to suppliers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1,073</w:t>
            </w:r>
          </w:p>
        </w:tc>
      </w:tr>
      <w:tr>
        <w:trPr>
          <w:trHeight w:val="216"/>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assets, net</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1,091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1,088</w:t>
            </w:r>
          </w:p>
        </w:tc>
      </w:tr>
      <w:tr>
        <w:trPr>
          <w:trHeight w:val="210"/>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1,154</w:t>
            </w:r>
          </w:p>
        </w:tc>
      </w:tr>
      <w:tr>
        <w:trPr>
          <w:trHeight w:val="20"/>
        </w:trPr>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Advance from customers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payroll and other accruals</w:t>
            </w:r>
          </w:p>
        </w:tc>
        <w:tc>
          <w:tcPr>
            <w:tcW w:w="10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7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Taxes payable</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2,578</w:t>
            </w:r>
          </w:p>
        </w:tc>
      </w:tr>
      <w:tr>
        <w:trPr>
          <w:trHeight w:val="216"/>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624</w:t>
            </w:r>
          </w:p>
        </w:tc>
      </w:tr>
      <w:tr>
        <w:trPr>
          <w:trHeight w:val="21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3,867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3,784</w:t>
            </w:r>
          </w:p>
        </w:tc>
      </w:tr>
      <w:tr>
        <w:trPr>
          <w:trHeight w:val="210"/>
        </w:trPr>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3,784</w:t>
            </w:r>
          </w:p>
        </w:tc>
      </w:tr>
    </w:tbl>
    <w:p>
      <w:pPr>
        <w:spacing w:after="0" w:line="198" w:lineRule="exact"/>
        <w:rPr>
          <w:sz w:val="20"/>
          <w:szCs w:val="20"/>
          <w:color w:val="auto"/>
        </w:rPr>
      </w:pPr>
    </w:p>
    <w:p>
      <w:pPr>
        <w:ind w:left="5383" w:right="1720" w:hanging="5246"/>
        <w:spacing w:after="0" w:line="532" w:lineRule="auto"/>
        <w:rPr>
          <w:sz w:val="20"/>
          <w:szCs w:val="20"/>
          <w:color w:val="auto"/>
        </w:rPr>
      </w:pPr>
      <w:r>
        <w:rPr>
          <w:rFonts w:ascii="Times New Roman" w:cs="Times New Roman" w:eastAsia="Times New Roman" w:hAnsi="Times New Roman"/>
          <w:sz w:val="18"/>
          <w:szCs w:val="18"/>
          <w:color w:val="auto"/>
        </w:rPr>
        <w:t>Liabilities recognized as a result of consolidating these VIEs do not represent additional claims on the Company’s general assets.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-90170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3"/>
          </w:cols>
          <w:pgMar w:left="517" w:top="360" w:right="239" w:bottom="1440" w:gutter="0" w:footer="0" w:header="0"/>
        </w:sectPr>
      </w:pPr>
    </w:p>
    <w:bookmarkStart w:id="11" w:name="page12"/>
    <w:bookmarkEnd w:id="11"/>
    <w:p>
      <w:pPr>
        <w:jc w:val="center"/>
        <w:ind w:right="177"/>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77"/>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ind w:left="103" w:right="100"/>
        <w:spacing w:after="0" w:line="282" w:lineRule="auto"/>
        <w:rPr>
          <w:sz w:val="20"/>
          <w:szCs w:val="20"/>
          <w:color w:val="auto"/>
        </w:rPr>
      </w:pPr>
      <w:r>
        <w:rPr>
          <w:rFonts w:ascii="Times New Roman" w:cs="Times New Roman" w:eastAsia="Times New Roman" w:hAnsi="Times New Roman"/>
          <w:sz w:val="18"/>
          <w:szCs w:val="18"/>
          <w:color w:val="auto"/>
        </w:rPr>
        <w:t>Summarized below is the information related to the financial performance of the VIEs reported in the Company’s condensed consolidated statements of operations and comprehensive loss for the three months ended March 31, 2026 and 2025, respectively:</w:t>
      </w:r>
    </w:p>
    <w:p>
      <w:pPr>
        <w:spacing w:after="0" w:line="158"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5032375</wp:posOffset>
            </wp:positionH>
            <wp:positionV relativeFrom="paragraph">
              <wp:posOffset>19685</wp:posOffset>
            </wp:positionV>
            <wp:extent cx="2014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1" w:lineRule="exact"/>
        <w:rPr>
          <w:sz w:val="20"/>
          <w:szCs w:val="20"/>
          <w:color w:val="auto"/>
        </w:rPr>
      </w:pPr>
    </w:p>
    <w:p>
      <w:pPr>
        <w:ind w:left="8463"/>
        <w:spacing w:after="0"/>
        <w:tabs>
          <w:tab w:leader="none" w:pos="10082"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5032375</wp:posOffset>
            </wp:positionH>
            <wp:positionV relativeFrom="paragraph">
              <wp:posOffset>14605</wp:posOffset>
            </wp:positionV>
            <wp:extent cx="20142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 w:lineRule="exact"/>
        <w:rPr>
          <w:sz w:val="20"/>
          <w:szCs w:val="20"/>
          <w:color w:val="auto"/>
        </w:rPr>
      </w:pPr>
    </w:p>
    <w:p>
      <w:pPr>
        <w:ind w:left="8263"/>
        <w:spacing w:after="0"/>
        <w:tabs>
          <w:tab w:leader="none" w:pos="9882" w:val="left"/>
        </w:tabs>
        <w:rPr>
          <w:sz w:val="20"/>
          <w:szCs w:val="20"/>
          <w:color w:val="auto"/>
        </w:rPr>
      </w:pPr>
      <w:r>
        <w:rPr>
          <w:rFonts w:ascii="Times New Roman" w:cs="Times New Roman" w:eastAsia="Times New Roman" w:hAnsi="Times New Roman"/>
          <w:sz w:val="18"/>
          <w:szCs w:val="18"/>
          <w:b w:val="1"/>
          <w:bCs w:val="1"/>
          <w:color w:val="auto"/>
        </w:rPr>
        <w:t>US$(’000)</w:t>
      </w:r>
      <w:r>
        <w:rPr>
          <w:sz w:val="20"/>
          <w:szCs w:val="20"/>
          <w:color w:val="auto"/>
        </w:rPr>
        <w:tab/>
      </w:r>
      <w:r>
        <w:rPr>
          <w:rFonts w:ascii="Times New Roman" w:cs="Times New Roman" w:eastAsia="Times New Roman" w:hAnsi="Times New Roman"/>
          <w:sz w:val="17"/>
          <w:szCs w:val="17"/>
          <w:b w:val="1"/>
          <w:bCs w:val="1"/>
          <w:color w:val="auto"/>
        </w:rPr>
        <w:t>US$(’000)</w:t>
      </w:r>
    </w:p>
    <w:p>
      <w:pPr>
        <w:spacing w:after="0" w:line="23" w:lineRule="exact"/>
        <w:rPr>
          <w:sz w:val="20"/>
          <w:szCs w:val="20"/>
          <w:color w:val="auto"/>
        </w:rPr>
      </w:pPr>
    </w:p>
    <w:p>
      <w:pPr>
        <w:ind w:left="8183"/>
        <w:spacing w:after="0"/>
        <w:tabs>
          <w:tab w:leader="none" w:pos="9802" w:val="left"/>
        </w:tabs>
        <w:rPr>
          <w:sz w:val="20"/>
          <w:szCs w:val="20"/>
          <w:color w:val="auto"/>
        </w:rPr>
      </w:pPr>
      <w:r>
        <w:rPr>
          <w:rFonts w:ascii="Times New Roman" w:cs="Times New Roman" w:eastAsia="Times New Roman" w:hAnsi="Times New Roman"/>
          <w:sz w:val="18"/>
          <w:szCs w:val="18"/>
          <w:b w:val="1"/>
          <w:bCs w:val="1"/>
          <w:color w:val="auto"/>
        </w:rPr>
        <w:t>(Unaudited)</w:t>
      </w:r>
      <w:r>
        <w:rPr>
          <w:sz w:val="20"/>
          <w:szCs w:val="20"/>
          <w:color w:val="auto"/>
        </w:rPr>
        <w:tab/>
      </w: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tbl>
      <w:tblPr>
        <w:tblLayout w:type="fixed"/>
        <w:tblInd w:w="103"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700" w:type="dxa"/>
            <w:vAlign w:val="bottom"/>
          </w:tcPr>
          <w:p>
            <w:pPr>
              <w:spacing w:after="0"/>
              <w:rPr>
                <w:sz w:val="18"/>
                <w:szCs w:val="18"/>
                <w:color w:val="auto"/>
              </w:rPr>
            </w:pPr>
          </w:p>
        </w:tc>
        <w:tc>
          <w:tcPr>
            <w:tcW w:w="16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70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69</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700" w:type="dxa"/>
            <w:vAlign w:val="bottom"/>
          </w:tcPr>
          <w:p>
            <w:pPr>
              <w:spacing w:after="0"/>
              <w:rPr>
                <w:sz w:val="20"/>
                <w:szCs w:val="20"/>
                <w:color w:val="auto"/>
              </w:rPr>
            </w:pPr>
          </w:p>
        </w:tc>
        <w:tc>
          <w:tcPr>
            <w:tcW w:w="16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69</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pacing w:after="0" w:line="218" w:lineRule="exact"/>
        <w:rPr>
          <w:sz w:val="20"/>
          <w:szCs w:val="20"/>
          <w:color w:val="auto"/>
        </w:rPr>
      </w:pPr>
    </w:p>
    <w:p>
      <w:pPr>
        <w:ind w:left="323" w:hanging="323"/>
        <w:spacing w:after="0"/>
        <w:tabs>
          <w:tab w:leader="none" w:pos="32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left="103" w:right="100"/>
        <w:spacing w:after="0" w:line="258" w:lineRule="auto"/>
        <w:rPr>
          <w:sz w:val="20"/>
          <w:szCs w:val="20"/>
          <w:color w:val="auto"/>
        </w:rPr>
      </w:pPr>
      <w:r>
        <w:rPr>
          <w:rFonts w:ascii="Times New Roman" w:cs="Times New Roman" w:eastAsia="Times New Roman" w:hAnsi="Times New Roman"/>
          <w:sz w:val="18"/>
          <w:szCs w:val="18"/>
          <w:color w:val="auto"/>
        </w:rPr>
        <w:t>The Company reported operating income for the period ended March 31, 2026; however, such operating income were primarily driven by the reversal of allowance for credit losses, and as a result, the Company continued to generate negative cash flows as the Company implements its future business plan. For the three months ended March 31, 2026, the Company incurred a income from operations of US$0.08 million and a net operating cash outflow of US$0.29 million. As of March 31, 2026, the Company had cash and cash equivalents of US$0.72 million and working capital of US$2.52 million, compared with approximately US$0.97 million and US$2.48 million as of December 31, 2025, respectively.</w:t>
      </w:r>
    </w:p>
    <w:p>
      <w:pPr>
        <w:spacing w:after="0" w:line="183" w:lineRule="exact"/>
        <w:rPr>
          <w:sz w:val="20"/>
          <w:szCs w:val="20"/>
          <w:color w:val="auto"/>
        </w:rPr>
      </w:pPr>
    </w:p>
    <w:p>
      <w:pPr>
        <w:jc w:val="both"/>
        <w:ind w:left="103" w:right="100"/>
        <w:spacing w:after="0" w:line="252" w:lineRule="auto"/>
        <w:rPr>
          <w:sz w:val="20"/>
          <w:szCs w:val="20"/>
          <w:color w:val="auto"/>
        </w:rPr>
      </w:pPr>
      <w:r>
        <w:rPr>
          <w:rFonts w:ascii="Times New Roman" w:cs="Times New Roman" w:eastAsia="Times New Roman" w:hAnsi="Times New Roman"/>
          <w:sz w:val="18"/>
          <w:szCs w:val="18"/>
          <w:color w:val="auto"/>
        </w:rPr>
        <w:t>Our current core business is to provide advertising and marketing services to small and medium enterprises (“SMEs”), which is particularly sensitive to changes in general economic conditions. In addition, in order to further develop our core business, i.e., our Internet advertising and related data service business, broaden and diversify the online marketing channels for customers, reinforce our industry competitive advantage, we are actively seeking to acquire or invest in businesses and build teams with AI capabilities and proprietary intellectual properties that enable more accurate marketing solutions and cost efficient content creation. We may also pursue acquisitions or investments in businesses that expand our blockchain-based SaaS services, including technologies and platforms related to the tokenization of real-world assets. On March 7, 2025, ChinaNet Investment Holding Limited (the “Purchaser”), a British Virgin Islands company and an indirect wholly-owned subsidiary of ZW Data Action Technologies Inc. (the “Registrant”)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 The acquisition of Rahula Group and its intellectual property has enabled us to establish our IP services business segment. We generate revenue by licensing the intellectual property acquired through Rahula Group to customers. In the short term, we expect that cash flows generated from this business segment to help improve our liquidity, as it does not require significant ongoing capital investment or material cash outflows. On November 24, 2025, we changed the corporate name of Rahula to Cnet Technology (HK) Limited.</w:t>
      </w:r>
    </w:p>
    <w:p>
      <w:pPr>
        <w:spacing w:after="0" w:line="195" w:lineRule="exact"/>
        <w:rPr>
          <w:sz w:val="20"/>
          <w:szCs w:val="20"/>
          <w:color w:val="auto"/>
        </w:rPr>
      </w:pPr>
    </w:p>
    <w:p>
      <w:pPr>
        <w:jc w:val="both"/>
        <w:ind w:left="103" w:right="100"/>
        <w:spacing w:after="0" w:line="254" w:lineRule="auto"/>
        <w:rPr>
          <w:sz w:val="20"/>
          <w:szCs w:val="20"/>
          <w:color w:val="auto"/>
        </w:rPr>
      </w:pPr>
      <w:r>
        <w:rPr>
          <w:rFonts w:ascii="Times New Roman" w:cs="Times New Roman" w:eastAsia="Times New Roman" w:hAnsi="Times New Roman"/>
          <w:sz w:val="18"/>
          <w:szCs w:val="18"/>
          <w:color w:val="auto"/>
        </w:rPr>
        <w:t>On September 17, 2025, CNET Technology Limited (“CNET Technology”), a wholly-owned subsidiary of ZW Data Action Technologies Inc. (the “Company”) in the British Virgin Islands, entered into a purchase agreement with B Ocean Capital Management Limited, a Cayman Islands company, and Oasis Management Consultant Limited, a Hong Kong company (collectively with B Ocean Capital Management Limited, the “Sellers”) and Titans Investment Asset Holdings Limited, a British Virgin Islands company (“Titans”), pursuant to which each Seller will sell its 9.80% equity interests in Titans (the “Titans Equity Interests”) to CNET Technology. In consideration for the Titans Equity Interests, CNET Technology shall pay to the Sellers totaling $300,000 in cash and cause the Company to issue 200,000 shares of common stock of the Company, having a total value of $420,000 and valued at $2.10 per share, to the Sellers. CNET Technology obtained the Titans Equity Interests on October 21, 2025; however, as of the date of this report, the Company has not yet issued the 200,000 shares of common stock to the Sellers and the closing of the transaction has not yet taken place. Titans is principally engaged in providing digital marketing and advertising services.</w:t>
      </w:r>
    </w:p>
    <w:p>
      <w:pPr>
        <w:spacing w:after="0" w:line="188" w:lineRule="exact"/>
        <w:rPr>
          <w:sz w:val="20"/>
          <w:szCs w:val="20"/>
          <w:color w:val="auto"/>
        </w:rPr>
      </w:pPr>
    </w:p>
    <w:p>
      <w:pPr>
        <w:jc w:val="both"/>
        <w:ind w:left="103" w:right="100"/>
        <w:spacing w:after="0" w:line="253" w:lineRule="auto"/>
        <w:rPr>
          <w:sz w:val="20"/>
          <w:szCs w:val="20"/>
          <w:color w:val="auto"/>
        </w:rPr>
      </w:pPr>
      <w:r>
        <w:rPr>
          <w:rFonts w:ascii="Times New Roman" w:cs="Times New Roman" w:eastAsia="Times New Roman" w:hAnsi="Times New Roman"/>
          <w:sz w:val="18"/>
          <w:szCs w:val="18"/>
          <w:color w:val="auto"/>
        </w:rPr>
        <w:t>On October 28, 2025, CNET Technology, a wholly-owned subsidiary of the Company in the British Virgin Islands, entered into a purchase agreement (the “Acquisition Agreement”) with Fun Star Group INC., a British Virgin Islands company (“Fun Star”) and Modest Attack Limited, a British Virgin Islands company (“Modest”), pursuant to which Fun Star will sell its 9.9% equity interests in Modest (the “ Modest Equity Interests”) to CNET Technology. In consideration for the Modest Equity Interests, CNET Technology shall pay to Fun Star $625,000 in cash and cause the Company to issue 150,000 shares of common stock of the Company, having a total value of $375,000 and valued at $2.50 per share, to Fun Star. The closing of the acquisition is subject to customary terms and conditions as set forth in the Acquisition Agreement. Modest is principally engaged in providing development services related to AI services that enable businesses to generate production-ready code from natural language and design and manage autonomous AI agents with integrated tools, workflows and decision-making capabilities. In addition, Modest is also engaged in providing development services for the tokenization of real-world assets, including token economics design, blockchain platform development, ecosystem infrastructure support, and digital asset monitoring and management.</w:t>
      </w:r>
    </w:p>
    <w:p>
      <w:pPr>
        <w:spacing w:after="0" w:line="194" w:lineRule="exact"/>
        <w:rPr>
          <w:sz w:val="20"/>
          <w:szCs w:val="20"/>
          <w:color w:val="auto"/>
        </w:rPr>
      </w:pPr>
    </w:p>
    <w:p>
      <w:pPr>
        <w:jc w:val="center"/>
        <w:ind w:right="317"/>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3"/>
          </w:cols>
          <w:pgMar w:left="557" w:top="360" w:right="239" w:bottom="1440" w:gutter="0" w:footer="0" w:header="0"/>
        </w:sectPr>
      </w:pPr>
    </w:p>
    <w:bookmarkStart w:id="12" w:name="page13"/>
    <w:bookmarkEnd w:id="12"/>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ind w:left="170"/>
        <w:spacing w:after="0" w:line="255" w:lineRule="auto"/>
        <w:rPr>
          <w:sz w:val="20"/>
          <w:szCs w:val="20"/>
          <w:color w:val="auto"/>
        </w:rPr>
      </w:pPr>
      <w:r>
        <w:rPr>
          <w:rFonts w:ascii="Times New Roman" w:cs="Times New Roman" w:eastAsia="Times New Roman" w:hAnsi="Times New Roman"/>
          <w:sz w:val="18"/>
          <w:szCs w:val="18"/>
          <w:color w:val="auto"/>
        </w:rPr>
        <w:t>If the Company fails to achieve these goals, the Company may need additional financing to execute its business plan. If additional financing is required, the Company cannot predict whether this additional financing will be in the form of equity, debt, or another form, and the Company may not be able to obtain the necessary additional capital on a timely basis, on acceptable terms, or at all. In the event that financing sources are not available, or that the Company is unsuccessful in increasing its gross profit margin and reducing operating losses, the Company may be unable to implement its current plans for expansion, repay debt obligations or respond to competitive pressures, any of which would have a material adverse effect on the Company’s business, prospects, financial condition and results of operations. These factors raise substantial doubt about the Company's ability to continue as a going concern within one year after the date that the financial statements are issued.</w:t>
      </w:r>
    </w:p>
    <w:p>
      <w:pPr>
        <w:spacing w:after="0" w:line="189" w:lineRule="exact"/>
        <w:rPr>
          <w:sz w:val="20"/>
          <w:szCs w:val="20"/>
          <w:color w:val="auto"/>
        </w:rPr>
      </w:pPr>
    </w:p>
    <w:p>
      <w:pPr>
        <w:jc w:val="both"/>
        <w:ind w:left="170"/>
        <w:spacing w:after="0" w:line="25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as of March 31, 2026 have been prepared under the assumption that the Company will continue as a going concern, which contemplates, among other things, the realization of assets and the satisfaction of liabilities in the normal course of business over a reasonable period of time. The Company's ability to continue as a going concern is dependent upon its uncertain ability to increase gross profit margin and reduce operating loss from its core business and/or obtain additional equity and/or debt financing. The accompanying financial statements as of March 31, 2026 do not include any adjustments that might result from the outcome of these uncertainties. If the Company is unable to continue as a going concern, it may have to liquidate its assets and may receive less than the value at which those assets are carried on the financial statements.</w:t>
      </w:r>
    </w:p>
    <w:p>
      <w:pPr>
        <w:spacing w:after="0" w:line="200" w:lineRule="exact"/>
        <w:rPr>
          <w:sz w:val="20"/>
          <w:szCs w:val="20"/>
          <w:color w:val="auto"/>
        </w:rPr>
      </w:pPr>
    </w:p>
    <w:p>
      <w:pPr>
        <w:spacing w:after="0" w:line="228" w:lineRule="exact"/>
        <w:rPr>
          <w:sz w:val="20"/>
          <w:szCs w:val="20"/>
          <w:color w:val="auto"/>
        </w:rPr>
      </w:pPr>
    </w:p>
    <w:p>
      <w:pPr>
        <w:ind w:left="330" w:hanging="330"/>
        <w:spacing w:after="0"/>
        <w:tabs>
          <w:tab w:leader="none" w:pos="33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ind w:left="170"/>
        <w:spacing w:after="0"/>
        <w:tabs>
          <w:tab w:leader="none" w:pos="47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29" w:lineRule="exact"/>
        <w:rPr>
          <w:sz w:val="20"/>
          <w:szCs w:val="20"/>
          <w:color w:val="auto"/>
        </w:rPr>
      </w:pPr>
    </w:p>
    <w:p>
      <w:pPr>
        <w:jc w:val="both"/>
        <w:ind w:left="19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are prepared and presented in accordance with accounting principles generally accepted in the United States of America (“U.S. GAAP”).</w:t>
      </w:r>
    </w:p>
    <w:p>
      <w:pPr>
        <w:spacing w:after="0" w:line="162" w:lineRule="exact"/>
        <w:rPr>
          <w:sz w:val="20"/>
          <w:szCs w:val="20"/>
          <w:color w:val="auto"/>
        </w:rPr>
      </w:pPr>
    </w:p>
    <w:p>
      <w:pPr>
        <w:jc w:val="both"/>
        <w:ind w:left="19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interim financial information as of March 31, 2026 and for the three months ended March 31, 2026 and 2025 have been prepared pursuant to the rules and regulations of the U.S. Securities and Exchange Commission (the “SEC”). Certain information and footnote disclosures, which are normally included in complete consolidated financial statements prepared in accordance with U.S. GAAP, have been omitted pursuant to those rules and regulations. The unaudited condensed consolidated interim financial information should be read in conjunction with the financial statements and the notes thereto, included in the Company’s Annual Report on Form 10-K for the fiscal year ended December 31, 2025, previously filed with the SEC (the “2025 Form 10-K”) on March 31, 2026.</w:t>
      </w:r>
    </w:p>
    <w:p>
      <w:pPr>
        <w:spacing w:after="0" w:line="187" w:lineRule="exact"/>
        <w:rPr>
          <w:sz w:val="20"/>
          <w:szCs w:val="20"/>
          <w:color w:val="auto"/>
        </w:rPr>
      </w:pPr>
    </w:p>
    <w:p>
      <w:pPr>
        <w:jc w:val="both"/>
        <w:ind w:left="19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(which include normal recurring adjustments) necessary to present a fair statement of the Company’s condensed consolidated financial position as of March 31, 2026, its condensed consolidated results of operations for the three months ended March 31, 2026 and 2025, and its condensed consolidated cash flows for the three months ended March 31, 2026 and 2025, as applicable, have been made. The interim results of operations are not necessarily indicative of the operating results for the full fiscal year or any future periods.</w:t>
      </w:r>
    </w:p>
    <w:p>
      <w:pPr>
        <w:spacing w:after="0" w:line="176" w:lineRule="exact"/>
        <w:rPr>
          <w:sz w:val="20"/>
          <w:szCs w:val="20"/>
          <w:color w:val="auto"/>
        </w:rPr>
      </w:pPr>
    </w:p>
    <w:p>
      <w:pPr>
        <w:ind w:left="110"/>
        <w:spacing w:after="0"/>
        <w:tabs>
          <w:tab w:leader="none" w:pos="410" w:val="left"/>
        </w:tabs>
        <w:rPr>
          <w:sz w:val="20"/>
          <w:szCs w:val="20"/>
          <w:color w:val="auto"/>
        </w:rPr>
      </w:pPr>
      <w:r>
        <w:rPr>
          <w:rFonts w:ascii="Times New Roman" w:cs="Times New Roman" w:eastAsia="Times New Roman" w:hAnsi="Times New Roman"/>
          <w:sz w:val="18"/>
          <w:szCs w:val="18"/>
          <w:b w:val="1"/>
          <w:bCs w:val="1"/>
          <w:color w:val="auto"/>
        </w:rPr>
        <w:t>b)</w:t>
        <w:tab/>
        <w:t>Principles of consolidation</w:t>
      </w:r>
    </w:p>
    <w:p>
      <w:pPr>
        <w:spacing w:after="0" w:line="229" w:lineRule="exact"/>
        <w:rPr>
          <w:sz w:val="20"/>
          <w:szCs w:val="20"/>
          <w:color w:val="auto"/>
        </w:rPr>
      </w:pPr>
    </w:p>
    <w:p>
      <w:pPr>
        <w:jc w:val="both"/>
        <w:ind w:left="190" w:right="2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include the accounts of all the subsidiaries and VIEs of the Company. All transactions and balances between the Company and its subsidiaries and VIEs have been eliminated upon consolidation.</w:t>
      </w:r>
    </w:p>
    <w:p>
      <w:pPr>
        <w:spacing w:after="0" w:line="162"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360" w:right="339" w:bottom="1440" w:gutter="0" w:footer="0" w:header="0"/>
        </w:sectPr>
      </w:pPr>
    </w:p>
    <w:bookmarkStart w:id="13" w:name="page14"/>
    <w:bookmarkEnd w:id="1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780" w:hanging="327"/>
        <w:spacing w:after="0"/>
        <w:tabs>
          <w:tab w:leader="none" w:pos="7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360" w:right="10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the related disclosure of contingent assets and liabilities at the date of these consolidated financial statements, and the reported amounts of revenue and expenses during the reporting period. The Company continually evaluates these estimates and assumptions based on the most recently available information, historical experience and various other assumptions that the Company believes to be reasonable under the circumstances. Since the use of estimates is an integral component of the financial reporting process, actual results could differ from those estimates.</w:t>
      </w:r>
    </w:p>
    <w:p>
      <w:pPr>
        <w:spacing w:after="0" w:line="183" w:lineRule="exact"/>
        <w:rPr>
          <w:sz w:val="20"/>
          <w:szCs w:val="20"/>
          <w:color w:val="auto"/>
        </w:rPr>
      </w:pPr>
    </w:p>
    <w:p>
      <w:pPr>
        <w:ind w:left="260"/>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Foreign currency translation</w:t>
      </w:r>
    </w:p>
    <w:p>
      <w:pPr>
        <w:spacing w:after="0" w:line="229" w:lineRule="exact"/>
        <w:rPr>
          <w:sz w:val="20"/>
          <w:szCs w:val="20"/>
          <w:color w:val="auto"/>
        </w:rPr>
      </w:pPr>
    </w:p>
    <w:p>
      <w:pPr>
        <w:jc w:val="both"/>
        <w:ind w:left="360" w:right="100"/>
        <w:spacing w:after="0" w:line="282" w:lineRule="auto"/>
        <w:rPr>
          <w:sz w:val="20"/>
          <w:szCs w:val="20"/>
          <w:color w:val="auto"/>
        </w:rPr>
      </w:pPr>
      <w:r>
        <w:rPr>
          <w:rFonts w:ascii="Times New Roman" w:cs="Times New Roman" w:eastAsia="Times New Roman" w:hAnsi="Times New Roman"/>
          <w:sz w:val="18"/>
          <w:szCs w:val="18"/>
          <w:color w:val="auto"/>
        </w:rPr>
        <w:t>The exchange rates used to translate amounts in RMB into US$ for the purposes of preparing the condensed consolidated financial statements are as follows: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1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r>
      <w:tr>
        <w:trPr>
          <w:trHeight w:val="210"/>
        </w:trPr>
        <w:tc>
          <w:tcPr>
            <w:tcW w:w="7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5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6.9194</w:t>
            </w: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7.0288</w:t>
            </w:r>
          </w:p>
        </w:tc>
      </w:tr>
      <w:tr>
        <w:trPr>
          <w:trHeight w:val="432"/>
        </w:trPr>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7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17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in the statements of operations and comprehensive loss</w:t>
            </w: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6.9493</w:t>
            </w:r>
          </w:p>
        </w:tc>
        <w:tc>
          <w:tcPr>
            <w:tcW w:w="1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7.1429</w:t>
            </w:r>
          </w:p>
        </w:tc>
      </w:tr>
    </w:tbl>
    <w:p>
      <w:pPr>
        <w:spacing w:after="0" w:line="1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 representation is made that the RMB amounts could have been, or could be converted into US$ at the above rates.</w:t>
      </w:r>
    </w:p>
    <w:p>
      <w:pPr>
        <w:spacing w:after="0" w:line="221" w:lineRule="exact"/>
        <w:rPr>
          <w:sz w:val="20"/>
          <w:szCs w:val="20"/>
          <w:color w:val="auto"/>
        </w:rPr>
      </w:pPr>
    </w:p>
    <w:p>
      <w:pPr>
        <w:ind w:left="580" w:hanging="329"/>
        <w:spacing w:after="0"/>
        <w:tabs>
          <w:tab w:leader="none" w:pos="5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expected credit losses</w:t>
      </w:r>
    </w:p>
    <w:p>
      <w:pPr>
        <w:spacing w:after="0" w:line="229" w:lineRule="exact"/>
        <w:rPr>
          <w:sz w:val="20"/>
          <w:szCs w:val="20"/>
          <w:color w:val="auto"/>
        </w:rPr>
      </w:pPr>
    </w:p>
    <w:p>
      <w:pPr>
        <w:jc w:val="both"/>
        <w:ind w:left="340" w:right="100"/>
        <w:spacing w:after="0" w:line="266" w:lineRule="auto"/>
        <w:rPr>
          <w:sz w:val="20"/>
          <w:szCs w:val="20"/>
          <w:color w:val="auto"/>
        </w:rPr>
      </w:pPr>
      <w:r>
        <w:rPr>
          <w:rFonts w:ascii="Times New Roman" w:cs="Times New Roman" w:eastAsia="Times New Roman" w:hAnsi="Times New Roman"/>
          <w:sz w:val="18"/>
          <w:szCs w:val="18"/>
          <w:color w:val="auto"/>
        </w:rPr>
        <w:t>The allowance for credit losses reflects the Company's current estimate of credit losses expected to be incurred over the life of the related financial assets. The allowance for credit losses is presented as a valuation account that is deducted from the amortized cost basis of financial asset(s) to present the net amount expected to be collected on the financial asset(s).</w:t>
      </w:r>
    </w:p>
    <w:p>
      <w:pPr>
        <w:spacing w:after="0" w:line="176" w:lineRule="exact"/>
        <w:rPr>
          <w:sz w:val="20"/>
          <w:szCs w:val="20"/>
          <w:color w:val="auto"/>
        </w:rPr>
      </w:pPr>
    </w:p>
    <w:p>
      <w:pPr>
        <w:jc w:val="both"/>
        <w:ind w:left="340" w:right="100"/>
        <w:spacing w:after="0" w:line="256" w:lineRule="auto"/>
        <w:rPr>
          <w:sz w:val="20"/>
          <w:szCs w:val="20"/>
          <w:color w:val="auto"/>
        </w:rPr>
      </w:pPr>
      <w:r>
        <w:rPr>
          <w:rFonts w:ascii="Times New Roman" w:cs="Times New Roman" w:eastAsia="Times New Roman" w:hAnsi="Times New Roman"/>
          <w:sz w:val="18"/>
          <w:szCs w:val="18"/>
          <w:color w:val="auto"/>
        </w:rPr>
        <w:t>The Company considers various factors in establishing, monitoring, and adjusting its allowance for credit losses, including the aging and aging trends, customer/other parties’ creditworthiness and specific exposures related to particular customers/other parties. The Company also monitors other risk factors and forward-looking information, such as country specific risks and economic factors that may affect a customer/other party’s ability to pay in establishing and adjusting its allowance for credit losses. The Company assesses collectability by reviewing the financial assets on a collective basis where similar characteristics exist and on an individual basis when the Company identifies specific customers/other parties with known disputes or collectability issues. Accounts receivable and short-term loans to unrelated parties are written off after all collection efforts have ceased.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tables summarized the movements of the Company’s credit losses for the three months ended March 31, 2026 and 2025,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US$(’000)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5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Credit loss for accounts receivable:</w:t>
            </w: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the period</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for/(reverse of) credit loss during the period</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Written off during the period</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translation adjustments</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end of the period</w:t>
            </w: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360" w:right="239" w:bottom="1440" w:gutter="0" w:footer="0" w:header="0"/>
        </w:sectPr>
      </w:pPr>
    </w:p>
    <w:bookmarkStart w:id="14" w:name="page15"/>
    <w:bookmarkEnd w:id="14"/>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March</w:t>
            </w:r>
          </w:p>
        </w:tc>
      </w:tr>
      <w:tr>
        <w:trPr>
          <w:trHeight w:val="238"/>
        </w:trPr>
        <w:tc>
          <w:tcPr>
            <w:tcW w:w="26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40" w:type="dxa"/>
            <w:vAlign w:val="bottom"/>
            <w:tcBorders>
              <w:bottom w:val="single" w:sz="8" w:color="auto"/>
            </w:tcBorders>
          </w:tcPr>
          <w:p>
            <w:pPr>
              <w:spacing w:after="0"/>
              <w:rPr>
                <w:sz w:val="20"/>
                <w:szCs w:val="20"/>
                <w:color w:val="auto"/>
              </w:rPr>
            </w:pPr>
          </w:p>
        </w:tc>
      </w:tr>
      <w:tr>
        <w:trPr>
          <w:trHeight w:val="209"/>
        </w:trPr>
        <w:tc>
          <w:tcPr>
            <w:tcW w:w="26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7"/>
        </w:trPr>
        <w:tc>
          <w:tcPr>
            <w:tcW w:w="26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US$(’000)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r>
      <w:tr>
        <w:trPr>
          <w:trHeight w:val="238"/>
        </w:trPr>
        <w:tc>
          <w:tcPr>
            <w:tcW w:w="26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r>
      <w:tr>
        <w:trPr>
          <w:trHeight w:val="196"/>
        </w:trPr>
        <w:tc>
          <w:tcPr>
            <w:tcW w:w="55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Credit loss for other current assets:</w:t>
            </w: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2600" w:type="dxa"/>
            <w:vAlign w:val="bottom"/>
            <w:tcBorders>
              <w:top w:val="single" w:sz="8" w:color="auto"/>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the period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credit loss during the period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Written off during the period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Exchange translation adjustments</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end of the period</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0"/>
        </w:trPr>
        <w:tc>
          <w:tcPr>
            <w:tcW w:w="2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140"/>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f)</w:t>
        <w:tab/>
        <w:t>Revenue recognition</w:t>
      </w:r>
    </w:p>
    <w:p>
      <w:pPr>
        <w:spacing w:after="0" w:line="2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following table present the Company’s revenues disaggregated by products and services and timing of revenue recognition:</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7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7"/>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r>
      <w:tr>
        <w:trPr>
          <w:trHeight w:val="238"/>
        </w:trPr>
        <w:tc>
          <w:tcPr>
            <w:tcW w:w="7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r>
      <w:tr>
        <w:trPr>
          <w:trHeight w:val="216"/>
        </w:trPr>
        <w:tc>
          <w:tcPr>
            <w:tcW w:w="7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advertising and related services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the right to use search engine marketing service</w:t>
            </w:r>
          </w:p>
        </w:tc>
        <w:tc>
          <w:tcPr>
            <w:tcW w:w="1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Internet advertising and related data service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970</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AI Service</w:t>
            </w:r>
          </w:p>
        </w:tc>
        <w:tc>
          <w:tcPr>
            <w:tcW w:w="1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Blockchain-based SaaS services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IP Services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1,652</w:t>
            </w:r>
          </w:p>
        </w:tc>
      </w:tr>
      <w:tr>
        <w:trPr>
          <w:trHeight w:val="413"/>
        </w:trPr>
        <w:tc>
          <w:tcPr>
            <w:tcW w:w="7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7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7"/>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r>
      <w:tr>
        <w:trPr>
          <w:trHeight w:val="238"/>
        </w:trPr>
        <w:tc>
          <w:tcPr>
            <w:tcW w:w="7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r>
      <w:tr>
        <w:trPr>
          <w:trHeight w:val="216"/>
        </w:trPr>
        <w:tc>
          <w:tcPr>
            <w:tcW w:w="7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 recognized at a point in time</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1,585</w:t>
            </w:r>
          </w:p>
        </w:tc>
      </w:tr>
      <w:tr>
        <w:trPr>
          <w:trHeight w:val="21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1,652</w:t>
            </w: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60" w:right="1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there were no revenue recognized from performance obligations that were satisfied in prior periods.</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g)</w:t>
        <w:tab/>
        <w:t>Asset acquisition of Rahula Group</w:t>
      </w:r>
    </w:p>
    <w:p>
      <w:pPr>
        <w:spacing w:after="0" w:line="229" w:lineRule="exact"/>
        <w:rPr>
          <w:sz w:val="20"/>
          <w:szCs w:val="20"/>
          <w:color w:val="auto"/>
        </w:rPr>
      </w:pPr>
    </w:p>
    <w:p>
      <w:pPr>
        <w:jc w:val="both"/>
        <w:ind w:left="120" w:right="100"/>
        <w:spacing w:after="0" w:line="272" w:lineRule="auto"/>
        <w:rPr>
          <w:sz w:val="20"/>
          <w:szCs w:val="20"/>
          <w:color w:val="auto"/>
        </w:rPr>
      </w:pPr>
      <w:r>
        <w:rPr>
          <w:rFonts w:ascii="Times New Roman" w:cs="Times New Roman" w:eastAsia="Times New Roman" w:hAnsi="Times New Roman"/>
          <w:sz w:val="17"/>
          <w:szCs w:val="17"/>
          <w:color w:val="auto"/>
        </w:rPr>
        <w:t>Acquisitions that do not meet the definition of a business under ASC 805 are accounted for as an asset acquisition, utilizing a cost accumulation model. Assets acquired and liabilities assumed are recognized at cost, which is the consideration the acquirer transfers to the seller, including direct transaction costs, on the acquisition date. The cost of the acquisition is then allocated to the assets acquired based on their relative fair values. Goodwill</w:t>
      </w:r>
    </w:p>
    <w:p>
      <w:pPr>
        <w:spacing w:after="0" w:line="2"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is not recognized in an asset acquisition. Direct transaction costs include those third-party costs that can be directly attributable to the asset acquisition and would not have been incurred absent the acquisition transaction.</w:t>
      </w:r>
    </w:p>
    <w:p>
      <w:pPr>
        <w:spacing w:after="0" w:line="18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540" w:top="360" w:right="239" w:bottom="1440" w:gutter="0" w:footer="0" w:header="0"/>
        </w:sectPr>
      </w:pPr>
    </w:p>
    <w:bookmarkStart w:id="15" w:name="page16"/>
    <w:bookmarkEnd w:id="15"/>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Rahula Digital Media (HK) Limited.</w:t>
      </w:r>
    </w:p>
    <w:p>
      <w:pPr>
        <w:spacing w:after="0" w:line="2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On March 7, 2025, ChinaNet Investment Holding Limited (the “Purchaser”), a British Virgin Islands company and an indirect wholly-owned subsidiary of ZW Data Action Technologies Inc.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 On November 24, 2025, we changed the corporate name of Rahula to Cnet Technology (HK) Limited.</w:t>
      </w:r>
    </w:p>
    <w:p>
      <w:pPr>
        <w:spacing w:after="0" w:line="18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Company determined this transaction represented an asset acquisition as substantially all of the value was in the intellectual property intangible assets of Rahula Group.</w:t>
      </w:r>
    </w:p>
    <w:p>
      <w:pPr>
        <w:spacing w:after="0" w:line="162"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The acquisition method of accounting includes the establishment of a net deferred tax asset or liability resulting from book tax basis differences related to assets acquired and liabilities assumed on the date of acquisition. When an acquisition of a group of assets is purchased in a transaction that is not accounted for as a business combination under ASC 805, “Business Combinations”, a difference between the book and tax bases of the assets arises. ASC 740, “Income Taxes,” requires the use of simultaneous equations to determine the assigned value of the asset and the related deferred tax asset or liability. As goodwill is not recognized in an asset acquisition, recognizing deferred tax assets or liabilities for temporary differences in an asset acquisition results in adjusting the carrying amount of the acquired assets and liabilities.</w:t>
      </w:r>
    </w:p>
    <w:p>
      <w:pPr>
        <w:spacing w:after="0" w:line="187" w:lineRule="exact"/>
        <w:rPr>
          <w:sz w:val="20"/>
          <w:szCs w:val="20"/>
          <w:color w:val="auto"/>
        </w:rPr>
      </w:pPr>
    </w:p>
    <w:p>
      <w:pPr>
        <w:ind w:left="40" w:right="160"/>
        <w:spacing w:after="0" w:line="282" w:lineRule="auto"/>
        <w:rPr>
          <w:sz w:val="20"/>
          <w:szCs w:val="20"/>
          <w:color w:val="auto"/>
        </w:rPr>
      </w:pPr>
      <w:r>
        <w:rPr>
          <w:rFonts w:ascii="Times New Roman" w:cs="Times New Roman" w:eastAsia="Times New Roman" w:hAnsi="Times New Roman"/>
          <w:sz w:val="18"/>
          <w:szCs w:val="18"/>
          <w:color w:val="auto"/>
        </w:rPr>
        <w:t>On March 7, 2025, upon the Purchaser’s acquisition of the outstanding common stock of Rahula, the Rahula intangible asset balance recorded on the acquisition date and included in intangible assets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March 7,</w:t>
            </w:r>
          </w:p>
        </w:tc>
      </w:tr>
      <w:tr>
        <w:trPr>
          <w:trHeight w:val="238"/>
        </w:trPr>
        <w:tc>
          <w:tcPr>
            <w:tcW w:w="644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7"/>
        </w:trPr>
        <w:tc>
          <w:tcPr>
            <w:tcW w:w="6440" w:type="dxa"/>
            <w:vAlign w:val="bottom"/>
          </w:tcPr>
          <w:p>
            <w:pPr>
              <w:spacing w:after="0"/>
              <w:rPr>
                <w:sz w:val="16"/>
                <w:szCs w:val="16"/>
                <w:color w:val="auto"/>
              </w:rPr>
            </w:pPr>
          </w:p>
        </w:tc>
        <w:tc>
          <w:tcPr>
            <w:tcW w:w="14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US$(’000)</w:t>
            </w:r>
          </w:p>
        </w:tc>
      </w:tr>
      <w:tr>
        <w:trPr>
          <w:trHeight w:val="238"/>
        </w:trPr>
        <w:tc>
          <w:tcPr>
            <w:tcW w:w="644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Rahula Group intangible asset recorded on acquisition date:</w:t>
            </w:r>
          </w:p>
        </w:tc>
        <w:tc>
          <w:tcPr>
            <w:tcW w:w="1400" w:type="dxa"/>
            <w:vAlign w:val="bottom"/>
            <w:shd w:val="clear" w:color="auto" w:fill="CCEEFF"/>
          </w:tcPr>
          <w:p>
            <w:pPr>
              <w:spacing w:after="0"/>
              <w:rPr>
                <w:sz w:val="18"/>
                <w:szCs w:val="18"/>
                <w:color w:val="auto"/>
              </w:rPr>
            </w:pPr>
          </w:p>
        </w:tc>
      </w:tr>
      <w:tr>
        <w:trPr>
          <w:trHeight w:val="216"/>
        </w:trPr>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 acquired (a)</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16"/>
        </w:trPr>
        <w:tc>
          <w:tcPr>
            <w:tcW w:w="6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tax liability generated from the Rahula asset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0"/>
        </w:trPr>
        <w:tc>
          <w:tcPr>
            <w:tcW w:w="6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consideration paid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r>
      <w:tr>
        <w:trPr>
          <w:trHeight w:val="20"/>
        </w:trPr>
        <w:tc>
          <w:tcPr>
            <w:tcW w:w="64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This intangible asset balance will be amortized over the remaining useful life of 3 years as of the March 7, 2025 acquisition date.</w:t>
      </w:r>
    </w:p>
    <w:p>
      <w:pPr>
        <w:spacing w:after="0" w:line="248" w:lineRule="exact"/>
        <w:rPr>
          <w:sz w:val="20"/>
          <w:szCs w:val="20"/>
          <w:color w:val="auto"/>
        </w:rPr>
      </w:pPr>
    </w:p>
    <w:p>
      <w:pPr>
        <w:ind w:left="8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h)</w:t>
        <w:tab/>
        <w:t>Lease</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March 31, 2026, operating lease right-of-use assets and total operating lease liabilities recognized was approximately US$0.04 million and US$0.04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Maturity of operating lease liabilities</w:t>
      </w:r>
    </w:p>
    <w:p>
      <w:pPr>
        <w:spacing w:after="0" w:line="225"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6012815</wp:posOffset>
            </wp:positionH>
            <wp:positionV relativeFrom="paragraph">
              <wp:posOffset>19685</wp:posOffset>
            </wp:positionV>
            <wp:extent cx="968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1"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8"/>
          <w:szCs w:val="18"/>
          <w:b w:val="1"/>
          <w:bCs w:val="1"/>
          <w:color w:val="auto"/>
        </w:rPr>
        <w:t>US$(’000)</w:t>
      </w:r>
    </w:p>
    <w:p>
      <w:pPr>
        <w:spacing w:after="0" w:line="23"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0940"/>
          </w:cols>
          <w:pgMar w:left="660" w:top="360" w:right="299" w:bottom="1440"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Nine months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98627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8627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undiscounted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698627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8627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liabilities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98627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698627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8627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Operating lease liabilities-Non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98627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86270" cy="16256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14605</wp:posOffset>
            </wp:positionV>
            <wp:extent cx="9683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8375" cy="8890"/>
                    </a:xfrm>
                    <a:prstGeom prst="rect">
                      <a:avLst/>
                    </a:prstGeom>
                    <a:noFill/>
                  </pic:spPr>
                </pic:pic>
              </a:graphicData>
            </a:graphic>
          </wp:anchor>
        </w:drawing>
        <w:drawing>
          <wp:anchor simplePos="0" relativeHeight="251657728" behindDoc="1" locked="0" layoutInCell="0" allowOverlap="1">
            <wp:simplePos x="0" y="0"/>
            <wp:positionH relativeFrom="column">
              <wp:posOffset>-781050</wp:posOffset>
            </wp:positionH>
            <wp:positionV relativeFrom="paragraph">
              <wp:posOffset>31750</wp:posOffset>
            </wp:positionV>
            <wp:extent cx="9683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37</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5715</wp:posOffset>
            </wp:positionV>
            <wp:extent cx="9683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37</w:t>
      </w:r>
    </w:p>
    <w:p>
      <w:pPr>
        <w:sectPr>
          <w:pgSz w:w="11900" w:h="16838" w:orient="portrait"/>
          <w:cols w:equalWidth="0" w:num="2">
            <w:col w:w="9980" w:space="720"/>
            <w:col w:w="240"/>
          </w:cols>
          <w:pgMar w:left="660" w:top="360" w:right="299" w:bottom="1440" w:gutter="0" w:footer="0" w:header="0"/>
          <w:type w:val="continuous"/>
        </w:sectPr>
      </w:pPr>
    </w:p>
    <w:bookmarkStart w:id="16" w:name="page17"/>
    <w:bookmarkEnd w:id="1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u w:val="single" w:color="auto"/>
          <w:color w:val="auto"/>
        </w:rPr>
        <w:t>Operating lease expenses:</w:t>
      </w:r>
    </w:p>
    <w:p>
      <w:pPr>
        <w:spacing w:after="0" w:line="225"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19685</wp:posOffset>
            </wp:positionV>
            <wp:extent cx="20142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1" w:lineRule="exact"/>
        <w:rPr>
          <w:sz w:val="20"/>
          <w:szCs w:val="20"/>
          <w:color w:val="auto"/>
        </w:rPr>
      </w:pPr>
    </w:p>
    <w:p>
      <w:pPr>
        <w:ind w:left="8700"/>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14605</wp:posOffset>
            </wp:positionV>
            <wp:extent cx="20142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 w:lineRule="exact"/>
        <w:rPr>
          <w:sz w:val="20"/>
          <w:szCs w:val="20"/>
          <w:color w:val="auto"/>
        </w:rPr>
      </w:pPr>
    </w:p>
    <w:p>
      <w:pPr>
        <w:ind w:left="8500"/>
        <w:spacing w:after="0"/>
        <w:tabs>
          <w:tab w:leader="none" w:pos="10120" w:val="left"/>
        </w:tabs>
        <w:rPr>
          <w:sz w:val="20"/>
          <w:szCs w:val="20"/>
          <w:color w:val="auto"/>
        </w:rPr>
      </w:pPr>
      <w:r>
        <w:rPr>
          <w:rFonts w:ascii="Times New Roman" w:cs="Times New Roman" w:eastAsia="Times New Roman" w:hAnsi="Times New Roman"/>
          <w:sz w:val="18"/>
          <w:szCs w:val="18"/>
          <w:b w:val="1"/>
          <w:bCs w:val="1"/>
          <w:color w:val="auto"/>
        </w:rPr>
        <w:t>US$(’000)</w:t>
      </w:r>
      <w:r>
        <w:rPr>
          <w:sz w:val="20"/>
          <w:szCs w:val="20"/>
          <w:color w:val="auto"/>
        </w:rPr>
        <w:tab/>
      </w:r>
      <w:r>
        <w:rPr>
          <w:rFonts w:ascii="Times New Roman" w:cs="Times New Roman" w:eastAsia="Times New Roman" w:hAnsi="Times New Roman"/>
          <w:sz w:val="17"/>
          <w:szCs w:val="17"/>
          <w:b w:val="1"/>
          <w:bCs w:val="1"/>
          <w:color w:val="auto"/>
        </w:rPr>
        <w:t>US$(’000)</w:t>
      </w:r>
    </w:p>
    <w:p>
      <w:pPr>
        <w:spacing w:after="0" w:line="23" w:lineRule="exact"/>
        <w:rPr>
          <w:sz w:val="20"/>
          <w:szCs w:val="20"/>
          <w:color w:val="auto"/>
        </w:rPr>
      </w:pPr>
    </w:p>
    <w:p>
      <w:pPr>
        <w:ind w:left="8420"/>
        <w:spacing w:after="0"/>
        <w:tabs>
          <w:tab w:leader="none" w:pos="10040" w:val="left"/>
        </w:tabs>
        <w:rPr>
          <w:sz w:val="20"/>
          <w:szCs w:val="20"/>
          <w:color w:val="auto"/>
        </w:rPr>
      </w:pPr>
      <w:r>
        <w:rPr>
          <w:rFonts w:ascii="Times New Roman" w:cs="Times New Roman" w:eastAsia="Times New Roman" w:hAnsi="Times New Roman"/>
          <w:sz w:val="18"/>
          <w:szCs w:val="18"/>
          <w:b w:val="1"/>
          <w:bCs w:val="1"/>
          <w:color w:val="auto"/>
        </w:rPr>
        <w:t>(Unaudited)</w:t>
      </w:r>
      <w:r>
        <w:rPr>
          <w:sz w:val="20"/>
          <w:szCs w:val="20"/>
          <w:color w:val="auto"/>
        </w:rPr>
        <w:tab/>
      </w: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contracts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Short-term operating lease contracts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 related to operating leases</w:t>
            </w: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8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120" w:type="dxa"/>
            <w:vAlign w:val="bottom"/>
            <w:tcBorders>
              <w:top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2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1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US$(’000)</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4"/>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0" w:type="dxa"/>
            <w:vAlign w:val="bottom"/>
          </w:tcPr>
          <w:p>
            <w:pPr>
              <w:spacing w:after="0"/>
              <w:rPr>
                <w:sz w:val="20"/>
                <w:szCs w:val="20"/>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used for operating leases (US$’000)</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 (US$’000)</w:t>
            </w:r>
          </w:p>
        </w:tc>
        <w:tc>
          <w:tcPr>
            <w:tcW w:w="1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7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0.75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4"/>
        </w:trPr>
        <w:tc>
          <w:tcPr>
            <w:tcW w:w="7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20" w:hanging="315"/>
        <w:spacing w:after="0"/>
        <w:tabs>
          <w:tab w:leader="none" w:pos="6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820" w:type="dxa"/>
            <w:vAlign w:val="bottom"/>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7"/>
        </w:trPr>
        <w:tc>
          <w:tcPr>
            <w:tcW w:w="7820" w:type="dxa"/>
            <w:vAlign w:val="bottom"/>
          </w:tcPr>
          <w:p>
            <w:pPr>
              <w:spacing w:after="0"/>
              <w:rPr>
                <w:sz w:val="16"/>
                <w:szCs w:val="16"/>
                <w:color w:val="auto"/>
              </w:rPr>
            </w:pPr>
          </w:p>
        </w:tc>
        <w:tc>
          <w:tcPr>
            <w:tcW w:w="15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6"/>
                <w:szCs w:val="16"/>
                <w:color w:val="auto"/>
              </w:rPr>
            </w:pPr>
          </w:p>
        </w:tc>
        <w:tc>
          <w:tcPr>
            <w:tcW w:w="15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r>
      <w:tr>
        <w:trPr>
          <w:trHeight w:val="238"/>
        </w:trPr>
        <w:tc>
          <w:tcPr>
            <w:tcW w:w="782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540" w:type="dxa"/>
            <w:vAlign w:val="bottom"/>
          </w:tcPr>
          <w:p>
            <w:pPr>
              <w:spacing w:after="0"/>
              <w:rPr>
                <w:sz w:val="20"/>
                <w:szCs w:val="20"/>
                <w:color w:val="auto"/>
              </w:rPr>
            </w:pPr>
          </w:p>
        </w:tc>
      </w:tr>
      <w:tr>
        <w:trPr>
          <w:trHeight w:val="216"/>
        </w:trPr>
        <w:tc>
          <w:tcPr>
            <w:tcW w:w="7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5,682</w:t>
            </w:r>
          </w:p>
        </w:tc>
      </w:tr>
      <w:tr>
        <w:trPr>
          <w:trHeight w:val="21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credit loss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w:t>
            </w:r>
          </w:p>
        </w:tc>
      </w:tr>
      <w:tr>
        <w:trPr>
          <w:trHeight w:val="21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181</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545</w:t>
            </w:r>
          </w:p>
        </w:tc>
      </w:tr>
      <w:tr>
        <w:trPr>
          <w:trHeight w:val="20"/>
        </w:trPr>
        <w:tc>
          <w:tcPr>
            <w:tcW w:w="7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40" w:right="100"/>
        <w:spacing w:after="0" w:line="258" w:lineRule="auto"/>
        <w:rPr>
          <w:sz w:val="20"/>
          <w:szCs w:val="20"/>
          <w:color w:val="auto"/>
        </w:rPr>
      </w:pPr>
      <w:r>
        <w:rPr>
          <w:rFonts w:ascii="Times New Roman" w:cs="Times New Roman" w:eastAsia="Times New Roman" w:hAnsi="Times New Roman"/>
          <w:sz w:val="18"/>
          <w:szCs w:val="18"/>
          <w:color w:val="auto"/>
        </w:rPr>
        <w:t>All of the accounts receivable are non-interest bearing. The Company maintains an estimated allowance for credit losses to reduce its accounts receivable to the amount that it believes will be collected. The Company evaluates its accounts receivable on a collective (pool) basis and determines the allowance for credit loss based on aging data, historical collection experience, customer specific facts, current economic conditions and reasonable and supportable forecasts of future economic conditions. For the three months ended March 31, 2026 and 2025, the Company reversed approximately US$0.18 million and provided approximately US$0.01 million in credit losses for its accounts receivable, respectively.</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6.  Prepayments and deposit to suppliers</w:t>
            </w:r>
          </w:p>
        </w:tc>
        <w:tc>
          <w:tcPr>
            <w:tcW w:w="3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3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5060" w:type="dxa"/>
            <w:vAlign w:val="bottom"/>
            <w:gridSpan w:val="2"/>
          </w:tcPr>
          <w:p>
            <w:pPr>
              <w:jc w:val="center"/>
              <w:ind w:left="33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4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54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6"/>
                <w:szCs w:val="16"/>
                <w:color w:val="auto"/>
              </w:rPr>
            </w:pPr>
          </w:p>
        </w:tc>
        <w:tc>
          <w:tcPr>
            <w:tcW w:w="1540" w:type="dxa"/>
            <w:vAlign w:val="bottom"/>
            <w:tcBorders>
              <w:top w:val="single" w:sz="8" w:color="auto"/>
            </w:tcBorders>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to advertising resources providers</w:t>
            </w:r>
          </w:p>
        </w:tc>
        <w:tc>
          <w:tcPr>
            <w:tcW w:w="5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to advertising resources providers</w:t>
            </w:r>
          </w:p>
        </w:tc>
        <w:tc>
          <w:tcPr>
            <w:tcW w:w="5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 for investing activities</w:t>
            </w:r>
          </w:p>
        </w:tc>
        <w:tc>
          <w:tcPr>
            <w:tcW w:w="5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Other deposits and prepayments</w:t>
            </w:r>
          </w:p>
        </w:tc>
        <w:tc>
          <w:tcPr>
            <w:tcW w:w="5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5,687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13</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30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360" w:right="239" w:bottom="1440" w:gutter="0" w:footer="0" w:header="0"/>
        </w:sectPr>
      </w:pPr>
    </w:p>
    <w:bookmarkStart w:id="17" w:name="page18"/>
    <w:bookmarkEnd w:id="17"/>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7.  Other current assets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7"/>
        </w:trPr>
        <w:tc>
          <w:tcPr>
            <w:tcW w:w="782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820" w:type="dxa"/>
            <w:vAlign w:val="bottom"/>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7"/>
        </w:trPr>
        <w:tc>
          <w:tcPr>
            <w:tcW w:w="7820" w:type="dxa"/>
            <w:vAlign w:val="bottom"/>
          </w:tcPr>
          <w:p>
            <w:pPr>
              <w:spacing w:after="0"/>
              <w:rPr>
                <w:sz w:val="16"/>
                <w:szCs w:val="16"/>
                <w:color w:val="auto"/>
              </w:rPr>
            </w:pPr>
          </w:p>
        </w:tc>
        <w:tc>
          <w:tcPr>
            <w:tcW w:w="15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6"/>
                <w:szCs w:val="16"/>
                <w:color w:val="auto"/>
              </w:rPr>
            </w:pPr>
          </w:p>
        </w:tc>
        <w:tc>
          <w:tcPr>
            <w:tcW w:w="15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r>
      <w:tr>
        <w:trPr>
          <w:trHeight w:val="238"/>
        </w:trPr>
        <w:tc>
          <w:tcPr>
            <w:tcW w:w="782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540" w:type="dxa"/>
            <w:vAlign w:val="bottom"/>
          </w:tcPr>
          <w:p>
            <w:pPr>
              <w:spacing w:after="0"/>
              <w:rPr>
                <w:sz w:val="20"/>
                <w:szCs w:val="20"/>
                <w:color w:val="auto"/>
              </w:rPr>
            </w:pPr>
          </w:p>
        </w:tc>
      </w:tr>
      <w:tr>
        <w:trPr>
          <w:trHeight w:val="216"/>
        </w:trPr>
        <w:tc>
          <w:tcPr>
            <w:tcW w:w="7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loans to unrelated parties</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2,653</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Short-term loans interest receivables</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Staff advances for business operations</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current assets</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2,819</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assets, net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829</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830</w:t>
            </w:r>
          </w:p>
        </w:tc>
      </w:tr>
      <w:tr>
        <w:trPr>
          <w:trHeight w:val="20"/>
        </w:trPr>
        <w:tc>
          <w:tcPr>
            <w:tcW w:w="7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provided unsecured, interest-bearing short-term loans to two unrelated parties, which were set forth as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short-term loans were recorded as other current assets.</w:t>
      </w:r>
    </w:p>
    <w:p>
      <w:pPr>
        <w:spacing w:after="0" w:line="207"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color w:val="auto"/>
        </w:rPr>
        <w:t>On January 5, 2022, the Company provided a short-term working capital loan of US$2.5 million to an unrelated party, which matured on May 5, 2022. The loan was unsecured and borne a fixed annualized interest rate of 7.5%. In April 2022, as agreed by both parties, the unrelated party repaid a portion of the loan principal of US$1.02 million, together with a loan interest of US0.06 million for the period from January 5, 2022 through April 30, 2022, based on the loan principal of US$2.5 million. The Company extended the term of the remaining loan principal of US$1.48 million to April 30, 2023 with a revised fixed annualized interest rate of 5%. In October 2022 and February 2023, the Company received loan interests of US$0.05 million in the aggregate for the period from May 1, 2022 through December 31, 2022. On April 30, 2023, the Company further extended the term of this loan to October 31, 2023. In May 2023, the Company received a loan interest of US$0.02 million for the period from January 1, 2023 through April 30, 2023. In July 2023, the Company received a loan interest of US$0.02 million for the period from May 1, 2023 through July 31, 2023. On October 31, 2023, the Company agreed to further extend the term of this loan to September 30, 2024. On May 29, 2024, the Company received payment of approximately US$0.13 million, of which approximately US$0.06 million settled outstanding interest and approximately US$0.07 million settled the loan principal. On September 30, 2024, the Company agreed to further extend the term of this loan to March 31, 2025. On March 17, 2025, the Company received payment of approximately US$0.35 million, of which approximately US$0.06 million settled outstanding interest and approximately US$0.29 million settled the loan principal. On March 27, 2025, the Company received payment of approximately US$0.21 million, of which approximately US$0.002 settled outstanding interest and approximately US$0.21 million settled the loan principal. On March 31, 2025, the Company agreed to further extend the term of this loan to March 31, 2026. On March 31, 2026, the Company agreed to further extend the term of this loan to March 31, 2027.</w:t>
      </w:r>
    </w:p>
    <w:p>
      <w:pPr>
        <w:spacing w:after="0" w:line="195"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On January 11, 2023, the Company provided a short-term loan of US$2.0 million to another unrelated party. The loan is unsecured and bears a fixed annualized interest rate of 12%. The original maturity date of this loan was July 17, 2023. On July 1, 2023, the Company extended the term of this loan for a six-month period to January 18, 2024. Subsequently, on January 8, 2024, the Company further agreed to extend the term of the loan to January 18, 2025. And on January 9, 2025, the Company agreed to extend the loan to January 18, 2026. For the year ended December 31, 2024, the Company received payment of US$0.77 million, of which approximately US$0.35 million settled outstanding interest and approximately US$0.42 million settled the loan principal. On January 27, 2025, the Company received payment of approximately US$0.57 million, of which approximately US$0.11 million settled outstanding interest and US$0.46 million settled the loan principal. On January 9, 2026, the Company agreed to extend the loan to January 18, 2027. On March 26, 2026, the Company received payment of approximately US$0.05 million to settle outstanding interest.</w:t>
      </w:r>
    </w:p>
    <w:p>
      <w:pPr>
        <w:spacing w:after="0" w:line="192"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The Company evaluates its short-term loans provided to unrelated parties for expected credit losses on a regular basis, and maintains an estimated allowance for credit losses to reduce its short-term loans to the amount that it believes will be collected. The Company evaluates its short-term loans on an individual basis and determines the allowance for credit loss based on creditworthiness of the borrowers, aging information, past transaction history with the borrowers and their current condition, as well as the current economic conditions and reasonable and supportable forecasts of future economic conditions. For the three months ended March 31, 2026 and 2025, the Company reversed approximately US$0.005 million and provided approximately US$0.38 million credit losses on short-term loans provided to unrelated parties, respectively.</w:t>
      </w:r>
    </w:p>
    <w:p>
      <w:pPr>
        <w:spacing w:after="0" w:line="18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660" w:top="360" w:right="239" w:bottom="1440" w:gutter="0" w:footer="0" w:header="0"/>
        </w:sectPr>
      </w:pPr>
    </w:p>
    <w:bookmarkStart w:id="18" w:name="page19"/>
    <w:bookmarkEnd w:id="18"/>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Long-term investments</w:t>
            </w:r>
          </w:p>
        </w:tc>
        <w:tc>
          <w:tcPr>
            <w:tcW w:w="154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15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2"/>
        </w:trPr>
        <w:tc>
          <w:tcPr>
            <w:tcW w:w="2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1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US$(’000)</w:t>
            </w:r>
          </w:p>
        </w:tc>
      </w:tr>
      <w:tr>
        <w:trPr>
          <w:trHeight w:val="194"/>
        </w:trPr>
        <w:tc>
          <w:tcPr>
            <w:tcW w:w="20" w:type="dxa"/>
            <w:vAlign w:val="bottom"/>
          </w:tcPr>
          <w:p>
            <w:pPr>
              <w:spacing w:after="0"/>
              <w:rPr>
                <w:sz w:val="16"/>
                <w:szCs w:val="16"/>
                <w:color w:val="auto"/>
              </w:rPr>
            </w:pPr>
          </w:p>
        </w:tc>
        <w:tc>
          <w:tcPr>
            <w:tcW w:w="94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2026</w:t>
            </w: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Exchange translation adjustment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investments during the year</w:t>
            </w: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Disposed during the year</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losses provided during the year</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9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2026 (Unaudited)</w:t>
            </w: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1,117</w:t>
            </w: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80" w:right="100"/>
        <w:spacing w:after="0" w:line="266" w:lineRule="auto"/>
        <w:rPr>
          <w:sz w:val="20"/>
          <w:szCs w:val="20"/>
          <w:color w:val="auto"/>
        </w:rPr>
      </w:pPr>
      <w:r>
        <w:rPr>
          <w:rFonts w:ascii="Times New Roman" w:cs="Times New Roman" w:eastAsia="Times New Roman" w:hAnsi="Times New Roman"/>
          <w:sz w:val="18"/>
          <w:szCs w:val="18"/>
          <w:color w:val="auto"/>
        </w:rPr>
        <w:t>As of March 31, 2026, except for long-term investments which were fully impaired, the Company beneficially owned a 7.69%, 9.9%, 9.9% equity interest and 19.6% equity interest in each New Business Holdings Limited (“New Business”), Hunan Yong Fu Xiang Health Management Co., Ltd (“Yong Fu Xiang”), Wuhan Ju Liang Media Co., Ltd. (“Wuhan Ju Liang”) and Titans Investment asset Holdings Limited (“Titans”), respectively.</w:t>
      </w:r>
    </w:p>
    <w:p>
      <w:pPr>
        <w:spacing w:after="0" w:line="176" w:lineRule="exact"/>
        <w:rPr>
          <w:sz w:val="20"/>
          <w:szCs w:val="20"/>
          <w:color w:val="auto"/>
        </w:rPr>
      </w:pPr>
    </w:p>
    <w:p>
      <w:pPr>
        <w:jc w:val="both"/>
        <w:ind w:left="80" w:right="100"/>
        <w:spacing w:after="0" w:line="282" w:lineRule="auto"/>
        <w:rPr>
          <w:sz w:val="20"/>
          <w:szCs w:val="20"/>
          <w:color w:val="auto"/>
        </w:rPr>
      </w:pPr>
      <w:r>
        <w:rPr>
          <w:rFonts w:ascii="Times New Roman" w:cs="Times New Roman" w:eastAsia="Times New Roman" w:hAnsi="Times New Roman"/>
          <w:sz w:val="18"/>
          <w:szCs w:val="18"/>
          <w:color w:val="auto"/>
        </w:rPr>
        <w:t>The Company measures each investment which does not have readily determinable fair values at cost minus impairment, if any, plus or minus changes resulting from observable price changes in orderly transactions for the identical or a similar investment of the Company.</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For the three months ended March 31, 2026, the Company provided no impairment loss against its long-term investments.</w:t>
      </w:r>
    </w:p>
    <w:p>
      <w:pPr>
        <w:spacing w:after="0" w:line="200" w:lineRule="exact"/>
        <w:rPr>
          <w:sz w:val="20"/>
          <w:szCs w:val="20"/>
          <w:color w:val="auto"/>
        </w:rPr>
      </w:pPr>
    </w:p>
    <w:p>
      <w:pPr>
        <w:spacing w:after="0" w:line="264" w:lineRule="exact"/>
        <w:rPr>
          <w:sz w:val="20"/>
          <w:szCs w:val="20"/>
          <w:color w:val="auto"/>
        </w:rPr>
      </w:pPr>
    </w:p>
    <w:p>
      <w:pPr>
        <w:ind w:left="320" w:hanging="316"/>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820" w:type="dxa"/>
            <w:vAlign w:val="bottom"/>
          </w:tcPr>
          <w:p>
            <w:pPr>
              <w:spacing w:after="0"/>
              <w:rPr>
                <w:sz w:val="20"/>
                <w:szCs w:val="20"/>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7"/>
        </w:trPr>
        <w:tc>
          <w:tcPr>
            <w:tcW w:w="7820" w:type="dxa"/>
            <w:vAlign w:val="bottom"/>
          </w:tcPr>
          <w:p>
            <w:pPr>
              <w:spacing w:after="0"/>
              <w:rPr>
                <w:sz w:val="16"/>
                <w:szCs w:val="16"/>
                <w:color w:val="auto"/>
              </w:rPr>
            </w:pPr>
          </w:p>
        </w:tc>
        <w:tc>
          <w:tcPr>
            <w:tcW w:w="154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6"/>
                <w:szCs w:val="16"/>
                <w:color w:val="auto"/>
              </w:rPr>
            </w:pPr>
          </w:p>
        </w:tc>
        <w:tc>
          <w:tcPr>
            <w:tcW w:w="154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r>
      <w:tr>
        <w:trPr>
          <w:trHeight w:val="238"/>
        </w:trPr>
        <w:tc>
          <w:tcPr>
            <w:tcW w:w="7820" w:type="dxa"/>
            <w:vAlign w:val="bottom"/>
          </w:tcPr>
          <w:p>
            <w:pPr>
              <w:spacing w:after="0"/>
              <w:rPr>
                <w:sz w:val="20"/>
                <w:szCs w:val="20"/>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6"/>
        </w:trPr>
        <w:tc>
          <w:tcPr>
            <w:tcW w:w="7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459</w:t>
            </w:r>
          </w:p>
        </w:tc>
        <w:tc>
          <w:tcPr>
            <w:tcW w:w="1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879</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Electronic devices</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c>
          <w:tcPr>
            <w:tcW w:w="1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cost</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1,974</w:t>
            </w:r>
          </w:p>
        </w:tc>
        <w:tc>
          <w:tcPr>
            <w:tcW w:w="1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1,945</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w:t>
            </w:r>
          </w:p>
        </w:tc>
      </w:tr>
      <w:tr>
        <w:trPr>
          <w:trHeight w:val="25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w:t>
            </w:r>
          </w:p>
        </w:tc>
      </w:tr>
    </w:tbl>
    <w:p>
      <w:pPr>
        <w:spacing w:after="0" w:line="1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Depreciation expenses for the three months ended March 31, 2026 and 2025 were approximately US$0.008 million and US$0.01 million, respectively.</w:t>
      </w:r>
    </w:p>
    <w:p>
      <w:pPr>
        <w:spacing w:after="0" w:line="22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580" w:top="360" w:right="239" w:bottom="1440" w:gutter="0" w:footer="0" w:header="0"/>
        </w:sectPr>
      </w:pPr>
    </w:p>
    <w:bookmarkStart w:id="19" w:name="page20"/>
    <w:bookmarkEnd w:id="19"/>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10. Intangible assets, net</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As of March 31, 2026 (Unaudited)</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7"/>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Items</w:t>
            </w:r>
          </w:p>
        </w:tc>
        <w:tc>
          <w:tcPr>
            <w:tcW w:w="18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6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09"/>
        </w:trPr>
        <w:tc>
          <w:tcPr>
            <w:tcW w:w="5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US$(’000)</w:t>
            </w: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i w:val="1"/>
                <w:iCs w:val="1"/>
                <w:color w:val="auto"/>
              </w:rPr>
              <w:t xml:space="preserve"> years life: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Cloud compute software technology</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Licensed products use right</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--5 years life: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Internet Ad tracking system</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Live streaming technology</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--3 years life: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Rahula’s Intellectual Property</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5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Blockchain Integrated Framework</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Bo!News application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computer software</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10,410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458</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87"/>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Items</w:t>
            </w:r>
          </w:p>
        </w:tc>
        <w:tc>
          <w:tcPr>
            <w:tcW w:w="18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6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5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US$(’000)</w:t>
            </w: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i w:val="1"/>
                <w:iCs w:val="1"/>
                <w:color w:val="auto"/>
              </w:rPr>
              <w:t xml:space="preserve"> years life: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Cloud compute software technology</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Licensed products use right</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--5 years life: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Internet Ad tracking system</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Live streaming technology</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--3 years life: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Rahula’s Intellectual Property</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515</w:t>
            </w:r>
          </w:p>
        </w:tc>
      </w:tr>
      <w:tr>
        <w:trPr>
          <w:trHeight w:val="216"/>
        </w:trPr>
        <w:tc>
          <w:tcPr>
            <w:tcW w:w="5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Blockchain Integrated Framework</w:t>
            </w: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Bo!News application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computer software</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10,382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515</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expenses for the three months ended March 31, 2026 and 2025 were approximately US$0.06 million and US$0.01 million, respectively.</w:t>
      </w:r>
    </w:p>
    <w:p>
      <w:pPr>
        <w:spacing w:after="0" w:line="22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Based on the adjusted carrying value of the finite-lived intangible assets after the deduction of the impairment losses, which has a weighted average remaining useful life of 1.95 years as of March 31, 2026, and assuming no further subsequent impairment of the underlying intangible assets, the estimated future amortization expenses is approximately US$0.18 million for the year ending December 31, 2026, approximately US$0.24 million for the year ending December 31, 2027, and approximately US$0.05 million for the year ending December 31, 2028.</w:t>
      </w:r>
    </w:p>
    <w:p>
      <w:pPr>
        <w:spacing w:after="0" w:line="18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660" w:top="360" w:right="239" w:bottom="1440" w:gutter="0" w:footer="0" w:header="0"/>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11. Deposit for investment</w:t>
      </w:r>
    </w:p>
    <w:p>
      <w:pPr>
        <w:spacing w:after="0" w:line="229" w:lineRule="exact"/>
        <w:rPr>
          <w:sz w:val="20"/>
          <w:szCs w:val="20"/>
          <w:color w:val="auto"/>
        </w:rPr>
      </w:pPr>
    </w:p>
    <w:p>
      <w:pPr>
        <w:ind w:left="340" w:right="220"/>
        <w:spacing w:after="0" w:line="258" w:lineRule="auto"/>
        <w:rPr>
          <w:sz w:val="20"/>
          <w:szCs w:val="20"/>
          <w:color w:val="auto"/>
        </w:rPr>
      </w:pPr>
      <w:r>
        <w:rPr>
          <w:rFonts w:ascii="Times New Roman" w:cs="Times New Roman" w:eastAsia="Times New Roman" w:hAnsi="Times New Roman"/>
          <w:sz w:val="18"/>
          <w:szCs w:val="18"/>
          <w:color w:val="auto"/>
        </w:rPr>
        <w:t>On October 28, 2025, CNET Technology, a wholly-owned subsidiary of the Company in the British Virgin Islands, entered into a purchase agreement (the “Acquisition Agreement”) with Fun Star Group INC., a British Virgin Islands company (“Fun Star”) and Modest Attack Limited, a British Virgin Islands company (“Modest”), pursuant to which Fun Star will sell its 9.9% equity interests in Modest (the “ Modest Equity Interests”) to CNET Technology. In consideration for the Modest Equity Interests, CNET Technology shall pay to Fun Star $625,000 in cash and cause the Company to issue 150,000 shares of common stock of the Company, having a total value of $375,000 and valued at $2.50 per share, to Fun Star.</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we have paid US$0.3 million and recognized this as deposit for investment.</w:t>
      </w:r>
    </w:p>
    <w:p>
      <w:pPr>
        <w:spacing w:after="0" w:line="200" w:lineRule="exact"/>
        <w:rPr>
          <w:sz w:val="20"/>
          <w:szCs w:val="20"/>
          <w:color w:val="auto"/>
        </w:rPr>
      </w:pPr>
    </w:p>
    <w:p>
      <w:pPr>
        <w:spacing w:after="0" w:line="264"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Accrued payroll and other accruals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1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15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6"/>
                <w:szCs w:val="16"/>
                <w:color w:val="auto"/>
              </w:rPr>
            </w:pPr>
          </w:p>
        </w:tc>
        <w:tc>
          <w:tcPr>
            <w:tcW w:w="15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staff welfare</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operating expenses</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78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185</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8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13. Taxation</w:t>
            </w: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20" w:type="dxa"/>
            <w:vAlign w:val="bottom"/>
          </w:tcPr>
          <w:p>
            <w:pPr>
              <w:spacing w:after="0"/>
              <w:rPr>
                <w:sz w:val="24"/>
                <w:szCs w:val="24"/>
                <w:color w:val="auto"/>
              </w:rPr>
            </w:pPr>
          </w:p>
        </w:tc>
        <w:tc>
          <w:tcPr>
            <w:tcW w:w="78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2026 and December 31, 2025, taxes payable consists of:</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15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6"/>
                <w:szCs w:val="16"/>
                <w:color w:val="auto"/>
              </w:rPr>
            </w:pPr>
          </w:p>
        </w:tc>
        <w:tc>
          <w:tcPr>
            <w:tcW w:w="15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Turnover tax and surcharge payable</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Enterprise income tax payable</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1,973</w:t>
            </w:r>
          </w:p>
        </w:tc>
        <w:tc>
          <w:tcPr>
            <w:tcW w:w="0" w:type="dxa"/>
            <w:vAlign w:val="bottom"/>
          </w:tcPr>
          <w:p>
            <w:pPr>
              <w:spacing w:after="0"/>
              <w:rPr>
                <w:sz w:val="1"/>
                <w:szCs w:val="1"/>
                <w:color w:val="auto"/>
              </w:rPr>
            </w:pPr>
          </w:p>
        </w:tc>
      </w:tr>
      <w:tr>
        <w:trPr>
          <w:trHeight w:val="249"/>
        </w:trPr>
        <w:tc>
          <w:tcPr>
            <w:tcW w:w="120" w:type="dxa"/>
            <w:vAlign w:val="bottom"/>
          </w:tcPr>
          <w:p>
            <w:pPr>
              <w:spacing w:after="0"/>
              <w:rPr>
                <w:sz w:val="21"/>
                <w:szCs w:val="21"/>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taxes payable</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3,302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3,249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2026 and 2025, the Company’s income tax benefit/(expenses) consisted of:</w:t>
      </w:r>
    </w:p>
    <w:p>
      <w:pPr>
        <w:spacing w:after="0" w:line="221"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19685</wp:posOffset>
            </wp:positionV>
            <wp:extent cx="20142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1" w:lineRule="exact"/>
        <w:rPr>
          <w:sz w:val="20"/>
          <w:szCs w:val="20"/>
          <w:color w:val="auto"/>
        </w:rPr>
      </w:pPr>
    </w:p>
    <w:p>
      <w:pPr>
        <w:ind w:left="8700"/>
        <w:spacing w:after="0"/>
        <w:tabs>
          <w:tab w:leader="none" w:pos="1032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14605</wp:posOffset>
            </wp:positionV>
            <wp:extent cx="20142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 w:lineRule="exact"/>
        <w:rPr>
          <w:sz w:val="20"/>
          <w:szCs w:val="20"/>
          <w:color w:val="auto"/>
        </w:rPr>
      </w:pPr>
    </w:p>
    <w:p>
      <w:pPr>
        <w:ind w:left="8500"/>
        <w:spacing w:after="0"/>
        <w:tabs>
          <w:tab w:leader="none" w:pos="10120" w:val="left"/>
        </w:tabs>
        <w:rPr>
          <w:sz w:val="20"/>
          <w:szCs w:val="20"/>
          <w:color w:val="auto"/>
        </w:rPr>
      </w:pPr>
      <w:r>
        <w:rPr>
          <w:rFonts w:ascii="Times New Roman" w:cs="Times New Roman" w:eastAsia="Times New Roman" w:hAnsi="Times New Roman"/>
          <w:sz w:val="18"/>
          <w:szCs w:val="18"/>
          <w:b w:val="1"/>
          <w:bCs w:val="1"/>
          <w:color w:val="auto"/>
        </w:rPr>
        <w:t>US$(’000)</w:t>
      </w:r>
      <w:r>
        <w:rPr>
          <w:sz w:val="20"/>
          <w:szCs w:val="20"/>
          <w:color w:val="auto"/>
        </w:rPr>
        <w:tab/>
      </w:r>
      <w:r>
        <w:rPr>
          <w:rFonts w:ascii="Times New Roman" w:cs="Times New Roman" w:eastAsia="Times New Roman" w:hAnsi="Times New Roman"/>
          <w:sz w:val="17"/>
          <w:szCs w:val="17"/>
          <w:b w:val="1"/>
          <w:bCs w:val="1"/>
          <w:color w:val="auto"/>
        </w:rPr>
        <w:t>US$(’000)</w:t>
      </w:r>
    </w:p>
    <w:p>
      <w:pPr>
        <w:spacing w:after="0" w:line="23" w:lineRule="exact"/>
        <w:rPr>
          <w:sz w:val="20"/>
          <w:szCs w:val="20"/>
          <w:color w:val="auto"/>
        </w:rPr>
      </w:pPr>
    </w:p>
    <w:p>
      <w:pPr>
        <w:ind w:left="8420"/>
        <w:spacing w:after="0"/>
        <w:tabs>
          <w:tab w:leader="none" w:pos="10040" w:val="left"/>
        </w:tabs>
        <w:rPr>
          <w:sz w:val="20"/>
          <w:szCs w:val="20"/>
          <w:color w:val="auto"/>
        </w:rPr>
      </w:pPr>
      <w:r>
        <w:rPr>
          <w:rFonts w:ascii="Times New Roman" w:cs="Times New Roman" w:eastAsia="Times New Roman" w:hAnsi="Times New Roman"/>
          <w:sz w:val="18"/>
          <w:szCs w:val="18"/>
          <w:b w:val="1"/>
          <w:bCs w:val="1"/>
          <w:color w:val="auto"/>
        </w:rPr>
        <w:t>(Unaudited)</w:t>
      </w:r>
      <w:r>
        <w:rPr>
          <w:sz w:val="20"/>
          <w:szCs w:val="20"/>
          <w:color w:val="auto"/>
        </w:rPr>
        <w:tab/>
      </w: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5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5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(expense)/benefit</w:t>
            </w:r>
          </w:p>
        </w:tc>
        <w:tc>
          <w:tcPr>
            <w:tcW w:w="412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120" w:type="dxa"/>
            <w:vAlign w:val="bottom"/>
            <w:vMerge w:val="restart"/>
          </w:tcPr>
          <w:p>
            <w:pPr>
              <w:jc w:val="right"/>
              <w:ind w:right="2350"/>
              <w:spacing w:after="0"/>
              <w:rPr>
                <w:sz w:val="20"/>
                <w:szCs w:val="20"/>
                <w:color w:val="auto"/>
              </w:rPr>
            </w:pPr>
            <w:r>
              <w:rPr>
                <w:rFonts w:ascii="Times New Roman" w:cs="Times New Roman" w:eastAsia="Times New Roman" w:hAnsi="Times New Roman"/>
                <w:sz w:val="18"/>
                <w:szCs w:val="18"/>
                <w:color w:val="auto"/>
              </w:rPr>
              <w:t>17</w:t>
            </w: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41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360" w:right="239" w:bottom="1440" w:gutter="0" w:footer="0" w:header="0"/>
        </w:sectPr>
      </w:pPr>
    </w:p>
    <w:bookmarkStart w:id="21" w:name="page22"/>
    <w:bookmarkEnd w:id="21"/>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deferred tax assets as of March 31, 2026 and December 31, 2025 were as follows: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10"/>
        </w:trPr>
        <w:tc>
          <w:tcPr>
            <w:tcW w:w="7820" w:type="dxa"/>
            <w:vAlign w:val="bottom"/>
          </w:tcPr>
          <w:p>
            <w:pPr>
              <w:spacing w:after="0"/>
              <w:rPr>
                <w:sz w:val="24"/>
                <w:szCs w:val="24"/>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7820" w:type="dxa"/>
            <w:vAlign w:val="bottom"/>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7"/>
        </w:trPr>
        <w:tc>
          <w:tcPr>
            <w:tcW w:w="7820" w:type="dxa"/>
            <w:vAlign w:val="bottom"/>
          </w:tcPr>
          <w:p>
            <w:pPr>
              <w:spacing w:after="0"/>
              <w:rPr>
                <w:sz w:val="16"/>
                <w:szCs w:val="16"/>
                <w:color w:val="auto"/>
              </w:rPr>
            </w:pPr>
          </w:p>
        </w:tc>
        <w:tc>
          <w:tcPr>
            <w:tcW w:w="15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6"/>
                <w:szCs w:val="16"/>
                <w:color w:val="auto"/>
              </w:rPr>
            </w:pPr>
          </w:p>
        </w:tc>
        <w:tc>
          <w:tcPr>
            <w:tcW w:w="154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r>
      <w:tr>
        <w:trPr>
          <w:trHeight w:val="238"/>
        </w:trPr>
        <w:tc>
          <w:tcPr>
            <w:tcW w:w="7820" w:type="dxa"/>
            <w:vAlign w:val="bottom"/>
          </w:tcPr>
          <w:p>
            <w:pPr>
              <w:spacing w:after="0"/>
              <w:rPr>
                <w:sz w:val="20"/>
                <w:szCs w:val="20"/>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540" w:type="dxa"/>
            <w:vAlign w:val="bottom"/>
          </w:tcPr>
          <w:p>
            <w:pPr>
              <w:spacing w:after="0"/>
              <w:rPr>
                <w:sz w:val="20"/>
                <w:szCs w:val="20"/>
                <w:color w:val="auto"/>
              </w:rPr>
            </w:pPr>
          </w:p>
        </w:tc>
      </w:tr>
      <w:tr>
        <w:trPr>
          <w:trHeight w:val="216"/>
        </w:trPr>
        <w:tc>
          <w:tcPr>
            <w:tcW w:w="7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net operating losses carried forward</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10,853</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on long-term investments</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intangible assets</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Bad debts provision</w:t>
            </w: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1,569</w:t>
            </w:r>
          </w:p>
        </w:tc>
      </w:tr>
      <w:tr>
        <w:trPr>
          <w:trHeight w:val="216"/>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(13,150)</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(13,098)</w:t>
            </w:r>
          </w:p>
        </w:tc>
      </w:tr>
      <w:tr>
        <w:trPr>
          <w:trHeight w:val="21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78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160" w:right="100"/>
        <w:spacing w:after="0" w:line="256" w:lineRule="auto"/>
        <w:rPr>
          <w:sz w:val="20"/>
          <w:szCs w:val="20"/>
          <w:color w:val="auto"/>
        </w:rPr>
      </w:pPr>
      <w:r>
        <w:rPr>
          <w:rFonts w:ascii="Times New Roman" w:cs="Times New Roman" w:eastAsia="Times New Roman" w:hAnsi="Times New Roman"/>
          <w:sz w:val="18"/>
          <w:szCs w:val="18"/>
          <w:color w:val="auto"/>
        </w:rPr>
        <w:t>The U.S. holding company has incurred aggregate net operating losses (“NOLs”) of approximately US$35.34 million and US$35.24 million as of March 31, 2026 and December 31, 2025, respectively The NOLs carryforwards as of December 31, 2017 gradually expire over time, the last of which expires in 2037. NOLs incurred after December 31, 2017 will no longer be available to carry back but can be carried forward indefinitely, subject to an annual limit of 80% on the amount of taxable income that can be offset by NOLs arising in tax years ending after December 31, 2017. The Company maintains a full valuation allowance against its net U.S. deferred tax assets, since due to uncertainties surrounding future utilization, the Company estimates there will not be sufficient future earnings to utilize its U.S. deferred tax assets.</w:t>
      </w:r>
    </w:p>
    <w:p>
      <w:pPr>
        <w:spacing w:after="0" w:line="187" w:lineRule="exact"/>
        <w:rPr>
          <w:sz w:val="20"/>
          <w:szCs w:val="20"/>
          <w:color w:val="auto"/>
        </w:rPr>
      </w:pPr>
    </w:p>
    <w:p>
      <w:pPr>
        <w:jc w:val="both"/>
        <w:ind w:left="160" w:right="100"/>
        <w:spacing w:after="0" w:line="261" w:lineRule="auto"/>
        <w:rPr>
          <w:sz w:val="20"/>
          <w:szCs w:val="20"/>
          <w:color w:val="auto"/>
        </w:rPr>
      </w:pPr>
      <w:r>
        <w:rPr>
          <w:rFonts w:ascii="Times New Roman" w:cs="Times New Roman" w:eastAsia="Times New Roman" w:hAnsi="Times New Roman"/>
          <w:sz w:val="18"/>
          <w:szCs w:val="18"/>
          <w:color w:val="auto"/>
        </w:rPr>
        <w:t>The NOLs carried forward incurred by the Company’s PRC subsidiaries and VIEs were approximately US$8.99 million and US$8.99 million as of March 31, 2025 and December 31, 2025, respectively. The losses carryforwards gradually expire over time, the last of which will expire in 2028. The related deferred tax assets were calculated based on the respective NOLs incurred by each of the PRC subsidiaries and VIEs and the respective corresponding enacted tax rate that will be in effect in the period in which the losses are expected to be utilized.</w:t>
      </w:r>
    </w:p>
    <w:p>
      <w:pPr>
        <w:spacing w:after="0" w:line="180" w:lineRule="exact"/>
        <w:rPr>
          <w:sz w:val="20"/>
          <w:szCs w:val="20"/>
          <w:color w:val="auto"/>
        </w:rPr>
      </w:pPr>
    </w:p>
    <w:p>
      <w:pPr>
        <w:jc w:val="both"/>
        <w:ind w:left="160" w:right="100"/>
        <w:spacing w:after="0" w:line="266" w:lineRule="auto"/>
        <w:rPr>
          <w:sz w:val="20"/>
          <w:szCs w:val="20"/>
          <w:color w:val="auto"/>
        </w:rPr>
      </w:pPr>
      <w:r>
        <w:rPr>
          <w:rFonts w:ascii="Times New Roman" w:cs="Times New Roman" w:eastAsia="Times New Roman" w:hAnsi="Times New Roman"/>
          <w:sz w:val="18"/>
          <w:szCs w:val="18"/>
          <w:color w:val="auto"/>
        </w:rPr>
        <w:t>The Company recorded approximately US$13.15 million and US$13.10 million valuation allowance as of March 31, 2026 and December 31, 2025, respectively, because it is considered more likely than not that a portion of the deferred tax assets will not be realized through sufficient future earnings of the entities to which the operating losses related.</w:t>
      </w:r>
    </w:p>
    <w:p>
      <w:pPr>
        <w:spacing w:after="0" w:line="176" w:lineRule="exact"/>
        <w:rPr>
          <w:sz w:val="20"/>
          <w:szCs w:val="20"/>
          <w:color w:val="auto"/>
        </w:rPr>
      </w:pPr>
    </w:p>
    <w:p>
      <w:pPr>
        <w:jc w:val="both"/>
        <w:ind w:left="160" w:right="1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approximately US$0.003 million and US$0.11 million deferred tax valuation allowance,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Long-term borrowing from a related party</w:t>
      </w:r>
    </w:p>
    <w:p>
      <w:pPr>
        <w:spacing w:after="0" w:line="256" w:lineRule="exact"/>
        <w:rPr>
          <w:sz w:val="20"/>
          <w:szCs w:val="20"/>
          <w:color w:val="auto"/>
        </w:rPr>
      </w:pPr>
    </w:p>
    <w:p>
      <w:pPr>
        <w:jc w:val="both"/>
        <w:ind w:left="160" w:right="100"/>
        <w:spacing w:after="0" w:line="266" w:lineRule="auto"/>
        <w:rPr>
          <w:sz w:val="20"/>
          <w:szCs w:val="20"/>
          <w:color w:val="auto"/>
        </w:rPr>
      </w:pPr>
      <w:r>
        <w:rPr>
          <w:rFonts w:ascii="Times New Roman" w:cs="Times New Roman" w:eastAsia="Times New Roman" w:hAnsi="Times New Roman"/>
          <w:sz w:val="18"/>
          <w:szCs w:val="18"/>
          <w:color w:val="auto"/>
        </w:rPr>
        <w:t>Long-term borrowing from a related party is a non-interest bearing loan from a related party of the Company relating to the original paid-in capital contribution in the Company’s wholly-owned subsidiary Rise King Century Technology Development (Beijing) Co., Ltd. (“Rise King WFOE”), which is not expected to be repaid within one year.</w:t>
      </w:r>
    </w:p>
    <w:p>
      <w:pPr>
        <w:spacing w:after="0" w:line="200" w:lineRule="exact"/>
        <w:rPr>
          <w:sz w:val="20"/>
          <w:szCs w:val="20"/>
          <w:color w:val="auto"/>
        </w:rPr>
      </w:pPr>
    </w:p>
    <w:p>
      <w:pPr>
        <w:spacing w:after="0" w:line="2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15. Restricted net assets</w:t>
      </w:r>
    </w:p>
    <w:p>
      <w:pPr>
        <w:spacing w:after="0" w:line="256" w:lineRule="exact"/>
        <w:rPr>
          <w:sz w:val="20"/>
          <w:szCs w:val="20"/>
          <w:color w:val="auto"/>
        </w:rPr>
      </w:pPr>
    </w:p>
    <w:p>
      <w:pPr>
        <w:jc w:val="both"/>
        <w:ind w:left="160" w:right="100"/>
        <w:spacing w:after="0" w:line="258" w:lineRule="auto"/>
        <w:rPr>
          <w:sz w:val="20"/>
          <w:szCs w:val="20"/>
          <w:color w:val="auto"/>
        </w:rPr>
      </w:pPr>
      <w:r>
        <w:rPr>
          <w:rFonts w:ascii="Times New Roman" w:cs="Times New Roman" w:eastAsia="Times New Roman" w:hAnsi="Times New Roman"/>
          <w:sz w:val="18"/>
          <w:szCs w:val="18"/>
          <w:color w:val="auto"/>
        </w:rPr>
        <w:t>The Company is a Nevada holding company with operations primarily conducted in China through its PRC subsidiaries, the consolidated VIEs and VIEs’ subsidiaries. The Company’s ability to pay dividends to U.S. investors may depend on receiving distributions from its PRC subsidiaries and settlement of the amounts owed under the VIE agreements from the consolidated VIEs. Any limitation on the ability of the Company’s PRC subsidiaries and the consolidated VIEs to make payments to the Company, or the tax implications of making payments to the Company, could have a material adverse effect on its ability to pay dividends to the U.S. investors.</w:t>
      </w:r>
    </w:p>
    <w:p>
      <w:pPr>
        <w:spacing w:after="0" w:line="183" w:lineRule="exact"/>
        <w:rPr>
          <w:sz w:val="20"/>
          <w:szCs w:val="20"/>
          <w:color w:val="auto"/>
        </w:rPr>
      </w:pPr>
    </w:p>
    <w:p>
      <w:pPr>
        <w:jc w:val="both"/>
        <w:ind w:left="160" w:right="100"/>
        <w:spacing w:after="0" w:line="253" w:lineRule="auto"/>
        <w:rPr>
          <w:sz w:val="20"/>
          <w:szCs w:val="20"/>
          <w:color w:val="auto"/>
        </w:rPr>
      </w:pPr>
      <w:r>
        <w:rPr>
          <w:rFonts w:ascii="Times New Roman" w:cs="Times New Roman" w:eastAsia="Times New Roman" w:hAnsi="Times New Roman"/>
          <w:sz w:val="18"/>
          <w:szCs w:val="18"/>
          <w:color w:val="auto"/>
        </w:rPr>
        <w:t>The PRC regulations currently permit payment of dividends only out of accumulated profits, as determined in accordance with PRC accounting standards and regulations. The Company’s PRC subsidiaries, the consolidated VIEs and their subsidiaries in China are also required to set aside at least 10% of their respective after-tax profit based on the PRC accounting standards and regulations each year to the statutory surplus reserve, until the balance in the reserve reaches 50% of the registered capital of the respective PRC entities. In accordance with these PRC laws and regulations, the Company’s PRC subsidiaries, the consolidated VIEs and their subsidiaries are restricted in their ability to transfer a portion of their net assets to the Nevada holding company. As of March 31, 2026 and December 31, 2025, net assets restricted in the aggregate, that are included in the Company’s consolidated net assets, were approximately US$13.10 million and US$13.11 million, respectively. Appropriations to the enterprise expansion fund and staff welfare and bonus fund of a foreign-invested PRC entity and appropriation to the discretionary surplus reserve of other PRC entities are at the discretion of the board of directors. To date, none of the Company’s PRC subsidiaries, the consolidated VIEs and their subsidiaries appropriated any of these non-mandatory funds and reserves. Furthermore, if these entities incur debt on their own in the future, the instruments governing the debt may restrict their ability to pay dividends or make other payments.</w:t>
      </w:r>
    </w:p>
    <w:p>
      <w:pPr>
        <w:spacing w:after="0" w:line="19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500" w:top="360" w:right="239" w:bottom="1440" w:gutter="0" w:footer="0" w:header="0"/>
        </w:sectPr>
      </w:pPr>
    </w:p>
    <w:bookmarkStart w:id="22" w:name="page23"/>
    <w:bookmarkEnd w:id="22"/>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PRC Enterprise Income Tax (“EIT”) Law and related regulations, dividends, interests, rent or royalties payable by a foreign-invested enterprise to its immediate holding company outside China are subject to a 10% withholding tax. A lower withholding tax rate will be applied if there is a tax treaty arrangement between mainland China and the jurisdiction of the foreign holding company. Hong Kong has a tax arrangement with mainland China that provides for a 5% withholding tax on dividends subject to certain conditions and requirements, such as the requirements that the Hong Kong enterprise owns at least 25% of the PRC enterprise distributing the dividend at all times within the 12-month period immediately preceding the distribution of dividends and provides that the recipient can demonstrate it is a Hong Kong tax resident and it is the beneficial owner of the dividends. The PRC government adopted regulations in 2018 which stipulate that in determining whether a non-resident enterprise has the status as a beneficial owner, comprehensive analysis shall be conducted based on the factors listed therein and the actual circumstances of the specific case shall be taken into consideration. Specifically, it expressly excludes an agent or a designated payee from being considered as a “beneficial owner”. The Company owns its PRC subsidiaries through China Net HK. China Net HK currently does not hold a Hong Kong tax resident certificate from the Inland Revenue Department of Hong Kong, there is no assurance that the reduced withholding tax rate will be available for the Company. If China Net HK is not considered to be the “beneficial owner” of the dividends by the Chinese local tax authority, any dividends paid to it by the Company’s PRC subsidiaries would be subject to a withholding tax rate of 10%.</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no restrictions for the consolidated VIEs to settle the amounts owed under the VIE agreements to Rise King WFOE. However, arrangements and transactions among affiliated entities may be subject to audit or challenge by the PRC tax authorities. If at any time the VIE agreements and the related fee structure between the consolidated VIEs and Rise King WFOE is determined to be non-substantive and disallowed by Chinese tax authorities, the consolidated VIEs could, as a matter of last resort, make a non-deductible transfer to Rise King WFOE for the amounts owed under the VIE agreements. This would result in such transfer being non-deductible expenses for the consolidated VIEs but still taxable income for Rise King WFOE. If this happens, it may increase the Company’s tax burden and reduce its after-tax income in the PRC, and may materially and adversely affect its ability to make distributions to the holding company. The Company’s management is of the view that the likelihood that this scenario would happen is remote.</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PRC subsidiaries generate all of their revenue in Renminbi, Renminbi is not freely convertible into other currencies. As a result, any restriction on currency exchange may limit the ability of the Company’s PRC subsidiaries to pay dividends/make distributions to the Company. The Chinese government imposes controls on the convertibility of Renminbi into foreign currencies and, in certain cases, the remittance of currency out of China. Shortages in availability of foreign currency may then restrict the ability of the Company’s PRC subsidiaries to remit sufficient foreign currency to the Nevada holding company for the holding company to pay dividends to the U.S. investors. Renminbi is currently convertible under the “current account,” which includes dividends, trade and service-related foreign exchange transactions, but not under the “capital account,” which includes foreign direct investment and foreign debt. Currently, the Company’s PRC subsidiaries may purchase foreign currency for settlement of current account transactions, including payment of dividends to the Nevada holding company, without the approval of the State Administration of Foreign Exchange of China (the “SAFE”) by complying with certain procedural requirements. However, the relevant Chinese governmental authorities may limit or eliminate the Company’s ability to purchase foreign currencies in the future for current account transactions. The Chinese government may continue to strengthen its capital controls, and additional restrictions and substantial vetting processes may be instituted by the SAFE for cross-border transactions falling under both the current account and the capital account. Any existing and future restrictions on currency exchange may limit the Company’s ability to utilize revenue generated in Renminbi to pay dividends in foreign currencies to holders of the Company’s securities. Foreign exchange transactions under the capital account remain subject to limitations and require approvals from, or registration with, the SAFE and other relevant Chinese governmental authorities. This could affect the Company’s ability to obtain foreign currency through debt or equity financing for its PRC subsidiaries.</w:t>
      </w:r>
    </w:p>
    <w:p>
      <w:pPr>
        <w:spacing w:after="0" w:line="1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360" w:right="339" w:bottom="1440" w:gutter="0" w:footer="0" w:header="0"/>
        </w:sectPr>
      </w:pPr>
    </w:p>
    <w:bookmarkStart w:id="23" w:name="page24"/>
    <w:bookmarkEnd w:id="23"/>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ind w:left="120" w:right="120"/>
        <w:spacing w:after="0" w:line="282" w:lineRule="auto"/>
        <w:rPr>
          <w:sz w:val="20"/>
          <w:szCs w:val="20"/>
          <w:color w:val="auto"/>
        </w:rPr>
      </w:pPr>
      <w:r>
        <w:rPr>
          <w:rFonts w:ascii="Times New Roman" w:cs="Times New Roman" w:eastAsia="Times New Roman" w:hAnsi="Times New Roman"/>
          <w:sz w:val="18"/>
          <w:szCs w:val="18"/>
          <w:color w:val="auto"/>
        </w:rPr>
        <w:t>To date, none of the Company’s subsidiaries has made any distribution of earnings or issued any dividends to their respective shareholder in or outside of China, or to the Nevada holding company, and the Nevada holding company has never declared or paid any cash dividends to U.S. investors.</w:t>
      </w:r>
    </w:p>
    <w:p>
      <w:pPr>
        <w:spacing w:after="0" w:line="162"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Company does not have any present plan to make any distribution of earnings/issue any dividends directly or indirectly to its Nevada holding company or pay any cash dividends on its common stock in the foreseeable future, because the Company currently intend to retain most, if not all, of its available funds and any future earnings to operate and expand the Company’s business.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Employee defined contribution plan</w:t>
      </w:r>
    </w:p>
    <w:p>
      <w:pPr>
        <w:spacing w:after="0" w:line="256" w:lineRule="exact"/>
        <w:rPr>
          <w:sz w:val="20"/>
          <w:szCs w:val="20"/>
          <w:color w:val="auto"/>
        </w:rPr>
      </w:pPr>
    </w:p>
    <w:p>
      <w:pPr>
        <w:jc w:val="both"/>
        <w:ind w:left="120" w:right="100"/>
        <w:spacing w:after="0" w:line="256" w:lineRule="auto"/>
        <w:rPr>
          <w:sz w:val="20"/>
          <w:szCs w:val="20"/>
          <w:color w:val="auto"/>
        </w:rPr>
      </w:pPr>
      <w:r>
        <w:rPr>
          <w:rFonts w:ascii="Times New Roman" w:cs="Times New Roman" w:eastAsia="Times New Roman" w:hAnsi="Times New Roman"/>
          <w:sz w:val="18"/>
          <w:szCs w:val="18"/>
          <w:color w:val="auto"/>
        </w:rPr>
        <w:t>Full time employees of the Company in the PRC participate in a government mandated defined contribution plan, pursuant to which certain pension benefits, medical care, employee housing fund and other welfare benefits are provided to employees. Chinese labor regulations require that the PRC subsidiaries of the Company make contributions to the government for these benefits based on certain percentages of the employees’ salaries. The employee benefits were expensed as incurred. The Company has no legal obligation for the benefits beyond the contributions made. The total amounts for such employee benefits were approximately US$0.01 million and US$0.01 million for the three months ended March 31, 2026 and 2025, respectively.</w:t>
      </w: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Concentration of risk</w:t>
      </w: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Credit risk</w:t>
      </w:r>
    </w:p>
    <w:p>
      <w:pPr>
        <w:spacing w:after="0" w:line="227" w:lineRule="exact"/>
        <w:rPr>
          <w:sz w:val="20"/>
          <w:szCs w:val="20"/>
          <w:color w:val="auto"/>
        </w:rPr>
      </w:pPr>
    </w:p>
    <w:p>
      <w:pPr>
        <w:jc w:val="both"/>
        <w:ind w:left="120" w:right="100"/>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accounts receivable, and deposits and loans to unrelated parties. As of March 31, 2026, 76% of the Company’s cash and cash equivalents were held by major financial institutions located in China, the remaining 24% was held by financial institutions located in the United States of America. The Company believes that these financial institutions located in China and the United States of America are of high credit quality. For accounts receivable and deposits and loans to unrelated parties, the Company extends credit based on an evaluation of the customer’s or other parties’ financial condition, generally without requiring collateral or other security. In order to minimize the credit risk, the Company delegated a team responsible for credit approvals and other monitoring procedures to ensure that follow-up action is taken to recover overdue debts. Further, the Company reviews the recoverable amount of each individual receivable at each balance sheet date to ensure that adequate allowances are made for doubtful accounts. In this regard, the Company considers that the Company’s credit risk for accounts receivable and deposits and loans to unrelated parties are significantly reduced.</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 of customers</w:t>
      </w:r>
    </w:p>
    <w:p>
      <w:pPr>
        <w:spacing w:after="0" w:line="227" w:lineRule="exact"/>
        <w:rPr>
          <w:sz w:val="20"/>
          <w:szCs w:val="20"/>
          <w:color w:val="auto"/>
        </w:rPr>
      </w:pPr>
    </w:p>
    <w:p>
      <w:pPr>
        <w:jc w:val="both"/>
        <w:ind w:left="120" w:right="100"/>
        <w:spacing w:after="0" w:line="282" w:lineRule="auto"/>
        <w:rPr>
          <w:sz w:val="20"/>
          <w:szCs w:val="20"/>
          <w:color w:val="auto"/>
        </w:rPr>
      </w:pPr>
      <w:r>
        <w:rPr>
          <w:rFonts w:ascii="Times New Roman" w:cs="Times New Roman" w:eastAsia="Times New Roman" w:hAnsi="Times New Roman"/>
          <w:sz w:val="18"/>
          <w:szCs w:val="18"/>
          <w:color w:val="auto"/>
        </w:rPr>
        <w:t>The following tables summarized the information about the Company’s concentration of customers for the three months ended March 31, 2026 and 2025, respectively:</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2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22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Customer</w:t>
            </w:r>
          </w:p>
        </w:tc>
      </w:tr>
      <w:tr>
        <w:trPr>
          <w:trHeight w:val="238"/>
        </w:trPr>
        <w:tc>
          <w:tcPr>
            <w:tcW w:w="35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C</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D</w:t>
            </w:r>
          </w:p>
        </w:tc>
        <w:tc>
          <w:tcPr>
            <w:tcW w:w="20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w:t>
            </w:r>
          </w:p>
        </w:tc>
        <w:tc>
          <w:tcPr>
            <w:tcW w:w="10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G</w:t>
            </w: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Revenues, customer concentration risk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11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6"/>
              </w:rPr>
              <w:t>10%</w:t>
            </w:r>
          </w:p>
        </w:tc>
        <w:tc>
          <w:tcPr>
            <w:tcW w:w="11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customer concentration risk</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59%</w:t>
            </w:r>
          </w:p>
        </w:tc>
        <w:tc>
          <w:tcPr>
            <w:tcW w:w="10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37%</w:t>
            </w:r>
          </w:p>
        </w:tc>
        <w:tc>
          <w:tcPr>
            <w:tcW w:w="120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customer concentration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gridSpan w:val="2"/>
          </w:tcPr>
          <w:p>
            <w:pPr>
              <w:jc w:val="center"/>
              <w:ind w:left="5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1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3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8"/>
        </w:trPr>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customer concentration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6"/>
              </w:rPr>
              <w:t>78%</w:t>
            </w:r>
          </w:p>
        </w:tc>
        <w:tc>
          <w:tcPr>
            <w:tcW w:w="1000" w:type="dxa"/>
            <w:vAlign w:val="bottom"/>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6"/>
              </w:rPr>
              <w:t>22%</w:t>
            </w:r>
          </w:p>
        </w:tc>
      </w:tr>
      <w:tr>
        <w:trPr>
          <w:trHeight w:val="234"/>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 Less than 10%.</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98" w:lineRule="exact"/>
        <w:rPr>
          <w:sz w:val="20"/>
          <w:szCs w:val="20"/>
          <w:color w:val="auto"/>
        </w:rPr>
      </w:pPr>
    </w:p>
    <w:p>
      <w:pPr>
        <w:ind w:left="5320" w:right="4340" w:hanging="5208"/>
        <w:spacing w:after="0" w:line="532" w:lineRule="auto"/>
        <w:tabs>
          <w:tab w:leader="none" w:pos="22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transaction incurred for the reporting period/no balance existed as of the reporting date.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-90170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540" w:top="360" w:right="239" w:bottom="1440" w:gutter="0" w:footer="0" w:header="0"/>
        </w:sectPr>
      </w:pPr>
    </w:p>
    <w:bookmarkStart w:id="24" w:name="page25"/>
    <w:bookmarkEnd w:id="24"/>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 of suppliers</w:t>
      </w:r>
    </w:p>
    <w:p>
      <w:pPr>
        <w:spacing w:after="0" w:line="227" w:lineRule="exact"/>
        <w:rPr>
          <w:sz w:val="20"/>
          <w:szCs w:val="20"/>
          <w:color w:val="auto"/>
        </w:rPr>
      </w:pPr>
    </w:p>
    <w:p>
      <w:pPr>
        <w:jc w:val="both"/>
        <w:ind w:left="100" w:right="100"/>
        <w:spacing w:after="0" w:line="282" w:lineRule="auto"/>
        <w:rPr>
          <w:sz w:val="20"/>
          <w:szCs w:val="20"/>
          <w:color w:val="auto"/>
        </w:rPr>
      </w:pPr>
      <w:r>
        <w:rPr>
          <w:rFonts w:ascii="Times New Roman" w:cs="Times New Roman" w:eastAsia="Times New Roman" w:hAnsi="Times New Roman"/>
          <w:sz w:val="18"/>
          <w:szCs w:val="18"/>
          <w:color w:val="auto"/>
        </w:rPr>
        <w:t>The following tables summarized the information about the Company’s concentration of suppliers for the three months ended March 31, 2026 and 2025, respectively:</w:t>
      </w:r>
    </w:p>
    <w:p>
      <w:pPr>
        <w:spacing w:after="0" w:line="158"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8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Supplier A</w:t>
            </w:r>
          </w:p>
        </w:tc>
        <w:tc>
          <w:tcPr>
            <w:tcW w:w="18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Supplier B</w:t>
            </w:r>
          </w:p>
        </w:tc>
        <w:tc>
          <w:tcPr>
            <w:tcW w:w="18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Supplier C</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8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 supplier concentration risk</w:t>
            </w:r>
          </w:p>
        </w:tc>
        <w:tc>
          <w:tcPr>
            <w:tcW w:w="1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75%</w:t>
            </w:r>
          </w:p>
        </w:tc>
        <w:tc>
          <w:tcPr>
            <w:tcW w:w="18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8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supplier concentration risk</w:t>
            </w:r>
          </w:p>
        </w:tc>
        <w:tc>
          <w:tcPr>
            <w:tcW w:w="18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59%</w:t>
            </w:r>
          </w:p>
        </w:tc>
        <w:tc>
          <w:tcPr>
            <w:tcW w:w="1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38%</w:t>
            </w:r>
          </w:p>
        </w:tc>
      </w:tr>
      <w:tr>
        <w:trPr>
          <w:trHeight w:val="4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 Less than 10%.</w:t>
            </w: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3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 No transaction incurred for the reporting period.</w:t>
            </w: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56" w:lineRule="exact"/>
        <w:rPr>
          <w:sz w:val="20"/>
          <w:szCs w:val="20"/>
          <w:color w:val="auto"/>
        </w:rPr>
      </w:pPr>
    </w:p>
    <w:p>
      <w:pPr>
        <w:jc w:val="both"/>
        <w:ind w:left="100" w:right="100"/>
        <w:spacing w:after="0" w:line="256" w:lineRule="auto"/>
        <w:rPr>
          <w:sz w:val="20"/>
          <w:szCs w:val="20"/>
          <w:color w:val="auto"/>
        </w:rPr>
      </w:pPr>
      <w:r>
        <w:rPr>
          <w:rFonts w:ascii="Times New Roman" w:cs="Times New Roman" w:eastAsia="Times New Roman" w:hAnsi="Times New Roman"/>
          <w:sz w:val="18"/>
          <w:szCs w:val="18"/>
          <w:color w:val="auto"/>
        </w:rPr>
        <w:t>The Company may from time to time become a party to various legal or administrative proceedings arising in its ordinary course of business. The Company evaluates the status of each legal matter and assesses the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As of the date hereof, based on the information currently available, the Company believes that the loss contingencies that may arise as a result of currently pending legal proceedings are not reasonably likely to have a material adverse effect on the Company’s business, results of operations, financial condition, and cash flows.</w:t>
      </w: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19. Segment reporting</w:t>
      </w:r>
    </w:p>
    <w:p>
      <w:pPr>
        <w:spacing w:after="0" w:line="256" w:lineRule="exact"/>
        <w:rPr>
          <w:sz w:val="20"/>
          <w:szCs w:val="20"/>
          <w:color w:val="auto"/>
        </w:rPr>
      </w:pPr>
    </w:p>
    <w:p>
      <w:pPr>
        <w:jc w:val="both"/>
        <w:ind w:left="100" w:right="100"/>
        <w:spacing w:after="0" w:line="258" w:lineRule="auto"/>
        <w:rPr>
          <w:sz w:val="20"/>
          <w:szCs w:val="20"/>
          <w:color w:val="auto"/>
        </w:rPr>
      </w:pPr>
      <w:r>
        <w:rPr>
          <w:rFonts w:ascii="Times New Roman" w:cs="Times New Roman" w:eastAsia="Times New Roman" w:hAnsi="Times New Roman"/>
          <w:sz w:val="18"/>
          <w:szCs w:val="18"/>
          <w:color w:val="auto"/>
        </w:rPr>
        <w:t>The Company follows ASC Topic 280 “Segment Reporting”, which requires that companies disclose segment data based on how management makes decisions about allocating resources to segments and evaluating their performance. Reportable operating segments include components of an entity about which separate financial information is available and which operating results are regularly reviewed by the chief operating decision maker (“CODM”), the Company’s Chief Executive Officer, to make decisions about resources to be allocated to the segment and assess each operating segment’s performance.</w:t>
      </w:r>
    </w:p>
    <w:p>
      <w:pPr>
        <w:spacing w:after="0" w:line="18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560" w:top="360" w:right="239" w:bottom="1440" w:gutter="0" w:footer="0" w:header="0"/>
        </w:sectPr>
      </w:pPr>
    </w:p>
    <w:bookmarkStart w:id="25" w:name="page26"/>
    <w:bookmarkEnd w:id="2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4400" w:type="dxa"/>
            <w:vAlign w:val="bottom"/>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 2026 (Unaudited)</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14"/>
        </w:trPr>
        <w:tc>
          <w:tcPr>
            <w:tcW w:w="3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Inter-</w:t>
            </w:r>
          </w:p>
        </w:tc>
        <w:tc>
          <w:tcPr>
            <w:tcW w:w="1000" w:type="dxa"/>
            <w:vAlign w:val="bottom"/>
          </w:tcPr>
          <w:p>
            <w:pPr>
              <w:spacing w:after="0"/>
              <w:rPr>
                <w:sz w:val="24"/>
                <w:szCs w:val="24"/>
                <w:color w:val="auto"/>
              </w:rPr>
            </w:pPr>
          </w:p>
        </w:tc>
      </w:tr>
      <w:tr>
        <w:trPr>
          <w:trHeight w:val="216"/>
        </w:trPr>
        <w:tc>
          <w:tcPr>
            <w:tcW w:w="3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segment</w:t>
            </w:r>
          </w:p>
        </w:tc>
        <w:tc>
          <w:tcPr>
            <w:tcW w:w="10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Internet Ad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and</w:t>
            </w:r>
          </w:p>
        </w:tc>
        <w:tc>
          <w:tcPr>
            <w:tcW w:w="10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and related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Blockchain</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reconciling</w:t>
            </w:r>
          </w:p>
        </w:tc>
        <w:tc>
          <w:tcPr>
            <w:tcW w:w="1000" w:type="dxa"/>
            <w:vAlign w:val="bottom"/>
          </w:tcPr>
          <w:p>
            <w:pPr>
              <w:spacing w:after="0"/>
              <w:rPr>
                <w:sz w:val="18"/>
                <w:szCs w:val="18"/>
                <w:color w:val="auto"/>
              </w:rPr>
            </w:pPr>
          </w:p>
        </w:tc>
      </w:tr>
      <w:tr>
        <w:trPr>
          <w:trHeight w:val="234"/>
        </w:trPr>
        <w:tc>
          <w:tcPr>
            <w:tcW w:w="34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service</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AI Services</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IP Services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technology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Corporate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item</w:t>
            </w: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191"/>
        </w:trPr>
        <w:tc>
          <w:tcPr>
            <w:tcW w:w="3420" w:type="dxa"/>
            <w:vAlign w:val="bottom"/>
          </w:tcPr>
          <w:p>
            <w:pPr>
              <w:spacing w:after="0"/>
              <w:rPr>
                <w:sz w:val="16"/>
                <w:szCs w:val="16"/>
                <w:color w:val="auto"/>
              </w:rPr>
            </w:pPr>
          </w:p>
        </w:tc>
        <w:tc>
          <w:tcPr>
            <w:tcW w:w="1020" w:type="dxa"/>
            <w:vAlign w:val="bottom"/>
            <w:tcBorders>
              <w:top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120" w:type="dxa"/>
            <w:vAlign w:val="bottom"/>
          </w:tcPr>
          <w:p>
            <w:pPr>
              <w:spacing w:after="0"/>
              <w:rPr>
                <w:sz w:val="16"/>
                <w:szCs w:val="16"/>
                <w:color w:val="auto"/>
              </w:rPr>
            </w:pPr>
          </w:p>
        </w:tc>
        <w:tc>
          <w:tcPr>
            <w:tcW w:w="980" w:type="dxa"/>
            <w:vAlign w:val="bottom"/>
            <w:tcBorders>
              <w:top w:val="single" w:sz="8" w:color="auto"/>
            </w:tcBorders>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US$</w:t>
            </w:r>
          </w:p>
        </w:tc>
      </w:tr>
      <w:tr>
        <w:trPr>
          <w:trHeight w:val="234"/>
        </w:trPr>
        <w:tc>
          <w:tcPr>
            <w:tcW w:w="34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(‘000)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(‘000)</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(‘000)</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(‘000)</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(‘000)</w:t>
            </w: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3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198"/>
        </w:trPr>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 amortization expense</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included in cost of revenues and total</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3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r>
      <w:tr>
        <w:trPr>
          <w:trHeight w:val="209"/>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 for long-term assets</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3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assets-March 31, 2026</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8,663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34,021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9,463</w:t>
            </w: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assets-December 31, 2025</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8,553</w:t>
            </w:r>
          </w:p>
        </w:tc>
        <w:tc>
          <w:tcPr>
            <w:tcW w:w="1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34,324</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(33,770)</w:t>
            </w:r>
          </w:p>
        </w:tc>
        <w:tc>
          <w:tcPr>
            <w:tcW w:w="10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9,678</w:t>
            </w: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180" w:type="dxa"/>
            <w:vAlign w:val="bottom"/>
            <w:gridSpan w:val="7"/>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Three Months Ended March 31, 2025 (Unaudited)</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Inter-segment</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Internet Ad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and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and related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Blockchain</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reconciling</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service</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IP Services</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technology</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Corporate</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item</w:t>
            </w:r>
          </w:p>
        </w:tc>
        <w:tc>
          <w:tcPr>
            <w:tcW w:w="120" w:type="dxa"/>
            <w:vAlign w:val="bottom"/>
          </w:tcPr>
          <w:p>
            <w:pPr>
              <w:spacing w:after="0"/>
              <w:rPr>
                <w:sz w:val="20"/>
                <w:szCs w:val="20"/>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4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120" w:type="dxa"/>
            <w:vAlign w:val="bottom"/>
          </w:tcPr>
          <w:p>
            <w:pPr>
              <w:spacing w:after="0"/>
              <w:rPr>
                <w:sz w:val="16"/>
                <w:szCs w:val="16"/>
                <w:color w:val="auto"/>
              </w:rPr>
            </w:pPr>
          </w:p>
        </w:tc>
        <w:tc>
          <w:tcPr>
            <w:tcW w:w="12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6"/>
                <w:szCs w:val="16"/>
                <w:color w:val="auto"/>
              </w:rPr>
            </w:pPr>
          </w:p>
        </w:tc>
        <w:tc>
          <w:tcPr>
            <w:tcW w:w="1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120" w:type="dxa"/>
            <w:vAlign w:val="bottom"/>
          </w:tcPr>
          <w:p>
            <w:pPr>
              <w:spacing w:after="0"/>
              <w:rPr>
                <w:sz w:val="16"/>
                <w:szCs w:val="16"/>
                <w:color w:val="auto"/>
              </w:rPr>
            </w:pPr>
          </w:p>
        </w:tc>
        <w:tc>
          <w:tcPr>
            <w:tcW w:w="1200" w:type="dxa"/>
            <w:vAlign w:val="bottom"/>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6"/>
                <w:szCs w:val="16"/>
                <w:color w:val="auto"/>
              </w:rPr>
            </w:pPr>
          </w:p>
        </w:tc>
        <w:tc>
          <w:tcPr>
            <w:tcW w:w="1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120" w:type="dxa"/>
            <w:vAlign w:val="bottom"/>
          </w:tcPr>
          <w:p>
            <w:pPr>
              <w:spacing w:after="0"/>
              <w:rPr>
                <w:sz w:val="16"/>
                <w:szCs w:val="16"/>
                <w:color w:val="auto"/>
              </w:rPr>
            </w:pPr>
          </w:p>
        </w:tc>
        <w:tc>
          <w:tcPr>
            <w:tcW w:w="1200" w:type="dxa"/>
            <w:vAlign w:val="bottom"/>
            <w:gridSpan w:val="2"/>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w w:val="99"/>
              </w:rPr>
              <w:t>US$</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(‘000)</w:t>
            </w:r>
          </w:p>
        </w:tc>
        <w:tc>
          <w:tcPr>
            <w:tcW w:w="100" w:type="dxa"/>
            <w:vAlign w:val="bottom"/>
          </w:tcPr>
          <w:p>
            <w:pPr>
              <w:spacing w:after="0"/>
              <w:rPr>
                <w:sz w:val="20"/>
                <w:szCs w:val="20"/>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(‘000)</w:t>
            </w:r>
          </w:p>
        </w:tc>
        <w:tc>
          <w:tcPr>
            <w:tcW w:w="100" w:type="dxa"/>
            <w:vAlign w:val="bottom"/>
          </w:tcPr>
          <w:p>
            <w:pPr>
              <w:spacing w:after="0"/>
              <w:rPr>
                <w:sz w:val="20"/>
                <w:szCs w:val="20"/>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1,019</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919</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3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 amortization expense</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included in cost of revenues and total</w:t>
            </w:r>
          </w:p>
        </w:tc>
        <w:tc>
          <w:tcPr>
            <w:tcW w:w="1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vMerge w:val="restart"/>
          </w:tcPr>
          <w:p>
            <w:pPr>
              <w:spacing w:after="0"/>
              <w:rPr>
                <w:sz w:val="18"/>
                <w:szCs w:val="18"/>
                <w:color w:val="auto"/>
              </w:rPr>
            </w:pP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vMerge w:val="restart"/>
          </w:tcPr>
          <w:p>
            <w:pPr>
              <w:spacing w:after="0"/>
              <w:rPr>
                <w:sz w:val="18"/>
                <w:szCs w:val="18"/>
                <w:color w:val="auto"/>
              </w:rPr>
            </w:pPr>
          </w:p>
        </w:tc>
        <w:tc>
          <w:tcPr>
            <w:tcW w:w="1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8"/>
                <w:szCs w:val="18"/>
                <w:color w:val="auto"/>
              </w:rPr>
            </w:pPr>
          </w:p>
        </w:tc>
        <w:tc>
          <w:tcPr>
            <w:tcW w:w="12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vMerge w:val="restart"/>
          </w:tcPr>
          <w:p>
            <w:pPr>
              <w:spacing w:after="0"/>
              <w:rPr>
                <w:sz w:val="18"/>
                <w:szCs w:val="18"/>
                <w:color w:val="auto"/>
              </w:rPr>
            </w:pPr>
          </w:p>
        </w:tc>
        <w:tc>
          <w:tcPr>
            <w:tcW w:w="1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income/(loss)</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 for long-term assets</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assets-March 31, 2025</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8,184</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712</w:t>
            </w: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33,793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assets-December 31, 2024</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7,627</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34,405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(32,346)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360" w:right="239" w:bottom="1440" w:gutter="0" w:footer="0" w:header="0"/>
        </w:sectPr>
      </w:pPr>
    </w:p>
    <w:bookmarkStart w:id="26" w:name="page27"/>
    <w:bookmarkEnd w:id="26"/>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ZW DATA ACTION TECHNOLOGIES INC.</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20. Earnings/(Loss) per share</w:t>
      </w:r>
    </w:p>
    <w:p>
      <w:pPr>
        <w:spacing w:after="0" w:line="256" w:lineRule="exact"/>
        <w:rPr>
          <w:sz w:val="20"/>
          <w:szCs w:val="20"/>
          <w:color w:val="auto"/>
        </w:rPr>
      </w:pPr>
    </w:p>
    <w:p>
      <w:pPr>
        <w:jc w:val="both"/>
        <w:ind w:left="120" w:right="100"/>
        <w:spacing w:after="0" w:line="282" w:lineRule="auto"/>
        <w:rPr>
          <w:sz w:val="20"/>
          <w:szCs w:val="20"/>
          <w:color w:val="auto"/>
        </w:rPr>
      </w:pPr>
      <w:r>
        <w:rPr>
          <w:rFonts w:ascii="Times New Roman" w:cs="Times New Roman" w:eastAsia="Times New Roman" w:hAnsi="Times New Roman"/>
          <w:sz w:val="18"/>
          <w:szCs w:val="18"/>
          <w:color w:val="auto"/>
        </w:rPr>
        <w:t>Basic and diluted earnings and loss per share for each of the periods presented are calculated as follows (All amounts, except number of shares and per share data, are presented in thousands of U.S. dollars):</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7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7"/>
        </w:trPr>
        <w:tc>
          <w:tcPr>
            <w:tcW w:w="7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r>
      <w:tr>
        <w:trPr>
          <w:trHeight w:val="238"/>
        </w:trPr>
        <w:tc>
          <w:tcPr>
            <w:tcW w:w="7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r>
      <w:tr>
        <w:trPr>
          <w:trHeight w:val="216"/>
        </w:trPr>
        <w:tc>
          <w:tcPr>
            <w:tcW w:w="7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8"/>
        </w:trPr>
        <w:tc>
          <w:tcPr>
            <w:tcW w:w="78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income/(loss) attributable to ZW Data Action Technologies Inc. (numerator for basic and diluted loss</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4"/>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Add: Net (income)/loss attributable to noncontrolling interests from continued operations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7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09"/>
        </w:trPr>
        <w:tc>
          <w:tcPr>
            <w:tcW w:w="7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6"/>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 and diluted</w:t>
            </w: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3,268,429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2,301,205</w:t>
            </w:r>
          </w:p>
        </w:tc>
      </w:tr>
      <w:tr>
        <w:trPr>
          <w:trHeight w:val="196"/>
        </w:trPr>
        <w:tc>
          <w:tcPr>
            <w:tcW w:w="7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56"/>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Earnings/(Loss) per share -Basic and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Share-based compensation expenses</w:t>
      </w:r>
    </w:p>
    <w:p>
      <w:pPr>
        <w:spacing w:after="0" w:line="25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In August 2024, under its 2023 Omnibus Securities and Incentive Plan, the Company granted and issued approximately 0.18 million fully-vested and non-forfeitable shares of the Company restricted common stock to business and financial consultants in exchange for their service for a 12-month period until August 2025. Total compensation expenses amortized was approximately US$0.14 million for the three months ended March 31, 2025.</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did not recognize any share-based compensation expense for the three months ended March 31,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summarized share-based compensation expenses recorded for the three months ended March 31, 2026 and 2025, respectively:</w:t>
      </w:r>
    </w:p>
    <w:p>
      <w:pPr>
        <w:spacing w:after="0" w:line="221"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7820" w:type="dxa"/>
            <w:vAlign w:val="bottom"/>
          </w:tcPr>
          <w:p>
            <w:pPr>
              <w:spacing w:after="0"/>
              <w:rPr>
                <w:sz w:val="18"/>
                <w:szCs w:val="18"/>
                <w:color w:val="auto"/>
              </w:rPr>
            </w:pPr>
          </w:p>
        </w:tc>
        <w:tc>
          <w:tcPr>
            <w:tcW w:w="1280" w:type="dxa"/>
            <w:vAlign w:val="bottom"/>
            <w:tcBorders>
              <w:top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187"/>
        </w:trPr>
        <w:tc>
          <w:tcPr>
            <w:tcW w:w="7820" w:type="dxa"/>
            <w:vAlign w:val="bottom"/>
          </w:tcPr>
          <w:p>
            <w:pPr>
              <w:spacing w:after="0"/>
              <w:rPr>
                <w:sz w:val="16"/>
                <w:szCs w:val="16"/>
                <w:color w:val="auto"/>
              </w:rPr>
            </w:pPr>
          </w:p>
        </w:tc>
        <w:tc>
          <w:tcPr>
            <w:tcW w:w="1280" w:type="dxa"/>
            <w:vAlign w:val="bottom"/>
            <w:tcBorders>
              <w:top w:val="single" w:sz="8" w:color="auto"/>
            </w:tcBorders>
          </w:tcPr>
          <w:p>
            <w:pPr>
              <w:jc w:val="center"/>
              <w:ind w:lef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r>
      <w:tr>
        <w:trPr>
          <w:trHeight w:val="238"/>
        </w:trPr>
        <w:tc>
          <w:tcPr>
            <w:tcW w:w="7820" w:type="dxa"/>
            <w:vAlign w:val="bottom"/>
          </w:tcPr>
          <w:p>
            <w:pPr>
              <w:spacing w:after="0"/>
              <w:rPr>
                <w:sz w:val="20"/>
                <w:szCs w:val="20"/>
                <w:color w:val="auto"/>
              </w:rPr>
            </w:pPr>
          </w:p>
        </w:tc>
        <w:tc>
          <w:tcPr>
            <w:tcW w:w="1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r>
      <w:tr>
        <w:trPr>
          <w:trHeight w:val="216"/>
        </w:trPr>
        <w:tc>
          <w:tcPr>
            <w:tcW w:w="7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r>
      <w:tr>
        <w:trPr>
          <w:trHeight w:val="210"/>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w:t>
            </w:r>
          </w:p>
        </w:tc>
      </w:tr>
      <w:tr>
        <w:trPr>
          <w:trHeight w:val="20"/>
        </w:trPr>
        <w:tc>
          <w:tcPr>
            <w:tcW w:w="78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22. Subsequent events</w:t>
      </w:r>
    </w:p>
    <w:p>
      <w:pPr>
        <w:spacing w:after="0" w:line="256" w:lineRule="exact"/>
        <w:rPr>
          <w:sz w:val="20"/>
          <w:szCs w:val="20"/>
          <w:color w:val="auto"/>
        </w:rPr>
      </w:pPr>
    </w:p>
    <w:p>
      <w:pPr>
        <w:jc w:val="both"/>
        <w:ind w:left="120" w:right="120"/>
        <w:spacing w:after="0" w:line="282" w:lineRule="auto"/>
        <w:rPr>
          <w:sz w:val="20"/>
          <w:szCs w:val="20"/>
          <w:color w:val="auto"/>
        </w:rPr>
      </w:pPr>
      <w:r>
        <w:rPr>
          <w:rFonts w:ascii="Times New Roman" w:cs="Times New Roman" w:eastAsia="Times New Roman" w:hAnsi="Times New Roman"/>
          <w:sz w:val="18"/>
          <w:szCs w:val="18"/>
          <w:color w:val="auto"/>
        </w:rPr>
        <w:t>On April 22, 2026, the Company granted an aggregate of 400,000 shares of its common stock to certain directors and employees of the Company pursuant to its equity incentive plan, including 165,000 shares granted to George Kai Chu, a director of the Company.</w:t>
      </w:r>
    </w:p>
    <w:p>
      <w:pPr>
        <w:spacing w:after="0" w:line="162" w:lineRule="exact"/>
        <w:rPr>
          <w:sz w:val="20"/>
          <w:szCs w:val="20"/>
          <w:color w:val="auto"/>
        </w:rPr>
      </w:pPr>
    </w:p>
    <w:p>
      <w:pPr>
        <w:jc w:val="both"/>
        <w:ind w:left="120" w:right="100"/>
        <w:spacing w:after="0" w:line="282" w:lineRule="auto"/>
        <w:rPr>
          <w:sz w:val="20"/>
          <w:szCs w:val="20"/>
          <w:color w:val="auto"/>
        </w:rPr>
      </w:pPr>
      <w:r>
        <w:rPr>
          <w:rFonts w:ascii="Times New Roman" w:cs="Times New Roman" w:eastAsia="Times New Roman" w:hAnsi="Times New Roman"/>
          <w:sz w:val="18"/>
          <w:szCs w:val="18"/>
          <w:color w:val="auto"/>
        </w:rPr>
        <w:t>Except for the above mentioned matters, no other material events which are required to be adjusted or disclosed as of the date of this consolidated financial statements.</w:t>
      </w:r>
    </w:p>
    <w:p>
      <w:pPr>
        <w:spacing w:after="0" w:line="16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540" w:top="360" w:right="239" w:bottom="1440" w:gutter="0" w:footer="0" w:header="0"/>
        </w:sectPr>
      </w:pPr>
    </w:p>
    <w:bookmarkStart w:id="27" w:name="page28"/>
    <w:bookmarkEnd w:id="2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ind w:left="20" w:firstLine="39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and analysis of our financial condition and results of operations in conjunction with our consolidated financial statements and the related notes included elsewhere in this interim report. Our consolidated financial statements have been prepared in accordance with U.S. GAAP. The following discussion and analysis contains forward-looking statements within the meaning of Section 27A of the Securities Act of 1933 and Section 21E of the Securities Exchange Act of 1934, including, without limitation, statements regarding our expectations, beliefs, intentions or future strategies that are signified by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similar language. All forward-looking statements included in this document are based on information available to us on the date hereof, and we assume no obligation to update any such forward-looking statements. Our business and financial performance are subject to substantial risks and uncertainties. Actual results could differ materially from those projected in the forward-looking statements. In evaluating our business, you should carefully consider the information set forth under the heading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Annual Report on Form 10-K for the fiscal year ended December 31, 2025. Readers are cautioned not to place undue reliance on these forward-looking statements.</w:t>
      </w:r>
    </w:p>
    <w:p>
      <w:pPr>
        <w:spacing w:after="0" w:line="183" w:lineRule="exact"/>
        <w:rPr>
          <w:sz w:val="20"/>
          <w:szCs w:val="20"/>
          <w:color w:val="auto"/>
        </w:rPr>
      </w:pPr>
    </w:p>
    <w:p>
      <w:pPr>
        <w:jc w:val="both"/>
        <w:ind w:left="2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Public Company Accounting Oversight Board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had historically been unable to inspect our auditor in relation to their audit work performed for our financial statements and the inability of the PCAOB to conduct inspections over our auditor deprived our investors of the benefits of such inspections.</w:t>
      </w:r>
    </w:p>
    <w:p>
      <w:pPr>
        <w:spacing w:after="0" w:line="175" w:lineRule="exact"/>
        <w:rPr>
          <w:sz w:val="20"/>
          <w:szCs w:val="20"/>
          <w:color w:val="auto"/>
        </w:rPr>
      </w:pPr>
    </w:p>
    <w:p>
      <w:pPr>
        <w:ind w:left="20" w:right="20" w:firstLine="396"/>
        <w:spacing w:after="0" w:line="270" w:lineRule="auto"/>
        <w:rPr>
          <w:sz w:val="20"/>
          <w:szCs w:val="20"/>
          <w:color w:val="auto"/>
        </w:rPr>
      </w:pPr>
      <w:r>
        <w:rPr>
          <w:rFonts w:ascii="Times New Roman" w:cs="Times New Roman" w:eastAsia="Times New Roman" w:hAnsi="Times New Roman"/>
          <w:sz w:val="17"/>
          <w:szCs w:val="17"/>
          <w:color w:val="auto"/>
        </w:rPr>
        <w:t>Our auditor, the independent registered public accounting firm that issues the audit report in our SEC filings,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Hong Kong Special Administrative Region of the PRC ("Hong Kong"), China, a jurisdiction where the PCAOB was unable to conduct inspections and investigations before 2022. As a result, we and investors in our securities were deprived of the benefits of such PCAOB inspections. On December 15, 2022, the PCAOB announced that it was able to secure complete access to inspect and investigate PCAOB-registered public accounting firms headquartered in China mainland and Hong Kong in 2022. However, the inability of the PCAOB to conduct inspections of auditors in Hong Kong in the past made it more difficult to evaluate the effectiveness of our independent registered public accounting firm’s audit procedures or quality control procedures as compared to auditors outside of China mainland and Hong Kong that have been subject to the PCAOB inspections, which could cause investors and potential investors in our securities to lose confidence in our audit procedures and reported financial information and the quality of our financial statements.</w:t>
      </w:r>
    </w:p>
    <w:p>
      <w:pPr>
        <w:spacing w:after="0" w:line="173" w:lineRule="exact"/>
        <w:rPr>
          <w:sz w:val="20"/>
          <w:szCs w:val="20"/>
          <w:color w:val="auto"/>
        </w:rPr>
      </w:pPr>
    </w:p>
    <w:p>
      <w:pPr>
        <w:ind w:left="20" w:right="20"/>
        <w:spacing w:after="0" w:line="259" w:lineRule="auto"/>
        <w:rPr>
          <w:sz w:val="20"/>
          <w:szCs w:val="20"/>
          <w:color w:val="auto"/>
        </w:rPr>
      </w:pPr>
      <w:r>
        <w:rPr>
          <w:rFonts w:ascii="Times New Roman" w:cs="Times New Roman" w:eastAsia="Times New Roman" w:hAnsi="Times New Roman"/>
          <w:sz w:val="18"/>
          <w:szCs w:val="18"/>
          <w:b w:val="1"/>
          <w:bCs w:val="1"/>
          <w:color w:val="auto"/>
        </w:rPr>
        <w:t>Our common stock may be delisted and prohibited from trading in the United States under the Holding Foreign Companies Accountable Act, or the HFCAA, as amended by the Accelerating Holding Foreign Companies Accountable Act, if the PCAOB is unable to inspect or investigate completely auditors located in China mainland and Hong Kong. The delisting of our common stock or the threat of their being delisted could cause the value of our common stock to significantly decline or be worthless, and thus you could lose all or substantial portion of your investment.</w:t>
      </w:r>
    </w:p>
    <w:p>
      <w:pPr>
        <w:spacing w:after="0" w:line="183" w:lineRule="exact"/>
        <w:rPr>
          <w:sz w:val="20"/>
          <w:szCs w:val="20"/>
          <w:color w:val="auto"/>
        </w:rPr>
      </w:pPr>
    </w:p>
    <w:p>
      <w:pPr>
        <w:ind w:left="20" w:firstLine="378"/>
        <w:spacing w:after="0" w:line="253" w:lineRule="auto"/>
        <w:rPr>
          <w:sz w:val="20"/>
          <w:szCs w:val="20"/>
          <w:color w:val="auto"/>
        </w:rPr>
      </w:pPr>
      <w:r>
        <w:rPr>
          <w:rFonts w:ascii="Times New Roman" w:cs="Times New Roman" w:eastAsia="Times New Roman" w:hAnsi="Times New Roman"/>
          <w:sz w:val="18"/>
          <w:szCs w:val="18"/>
          <w:color w:val="auto"/>
        </w:rPr>
        <w:t>On December 18, 2020, the Holding Foreign Companies Accountable Act, or the HFCAA, was signed into law that states if the SEC determines that issuers have filed audit reports issued by a registered public accounting firm that has not been subject to PCAOB inspection for three consecutive years beginning in 2021, the SEC shall prohibit its common stock from being traded on a national securities exchange or in the over-the-counter trading market in the U.S. Furthermore, on June 22, 2021, the U.S. Senate passed the Accelerating Holding Foreign Companies Accountable Act, to prohibit securities of any registrant from being listed on any of the U.S. securities exchanges or traded over-the-counter if the auditor of the registrant’s financial statements is not subject to PCAOB inspection for two consecutive years, instead of three consecutive years as enacted in the HFCAA. On December 2, 2021, the SEC adopted final amendments implementing the disclosure and submission requirements of the HFCAA, pursuant to which the SEC will identify an issuer as a “Commission-Identified Issuer” if the issuer has filed an annual report containing an audit report issued by a registered public accounting firm that the PCAOB has determined it is unable to inspect or investigate completely, and will then impose a trading prohibition on an issuer after it is identified as a Commission-Identified Issuer for three consecutive years. On December 29, 2022, the Accelerating Holding Foreign Companies Accountable Act was signed into law.</w:t>
      </w:r>
    </w:p>
    <w:p>
      <w:pPr>
        <w:spacing w:after="0" w:line="192" w:lineRule="exact"/>
        <w:rPr>
          <w:sz w:val="20"/>
          <w:szCs w:val="20"/>
          <w:color w:val="auto"/>
        </w:rPr>
      </w:pPr>
    </w:p>
    <w:p>
      <w:pPr>
        <w:ind w:left="20" w:right="40" w:firstLine="378"/>
        <w:spacing w:after="0" w:line="258" w:lineRule="auto"/>
        <w:rPr>
          <w:sz w:val="20"/>
          <w:szCs w:val="20"/>
          <w:color w:val="auto"/>
        </w:rPr>
      </w:pPr>
      <w:r>
        <w:rPr>
          <w:rFonts w:ascii="Times New Roman" w:cs="Times New Roman" w:eastAsia="Times New Roman" w:hAnsi="Times New Roman"/>
          <w:sz w:val="18"/>
          <w:szCs w:val="18"/>
          <w:color w:val="auto"/>
        </w:rPr>
        <w:t>On December 16, 2021, the PCAOB issued a HFCAA Determination Report (the “2021 PCAOB Determinations”) to notify the SEC of its determination that the PCAOB was unable to inspect or investigate completely registered public accounting firms headquartered in China mainland and Hong Kong because of positions taken by the Chinese authorities, and our auditor was subject to this determination. On May 13, 2022, the SEC conclusively identified us as a Commission-Identified Issuer under the HFCAA following the filing of our annual report on Form 10-K for the fiscal year ended December 31, 2021.</w:t>
      </w:r>
    </w:p>
    <w:p>
      <w:pPr>
        <w:spacing w:after="0" w:line="18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580" w:top="819" w:right="339" w:bottom="1440" w:gutter="0" w:footer="0" w:header="0"/>
        </w:sectPr>
      </w:pPr>
    </w:p>
    <w:bookmarkStart w:id="28" w:name="page29"/>
    <w:bookmarkEnd w:id="28"/>
    <w:p>
      <w:pPr>
        <w:ind w:left="20" w:right="80" w:firstLine="378"/>
        <w:spacing w:after="0" w:line="254" w:lineRule="auto"/>
        <w:rPr>
          <w:sz w:val="20"/>
          <w:szCs w:val="20"/>
          <w:color w:val="auto"/>
        </w:rPr>
      </w:pPr>
      <w:r>
        <w:rPr>
          <w:rFonts w:ascii="Times New Roman" w:cs="Times New Roman" w:eastAsia="Times New Roman" w:hAnsi="Times New Roman"/>
          <w:sz w:val="18"/>
          <w:szCs w:val="18"/>
          <w:color w:val="auto"/>
        </w:rPr>
        <w:t>On August 26, 2022, the PCAOB signed a Statement of Protocol on agreement governing on inspections of audit firms based in mainland China and Hong Kong, with China Securities Regulatory Commission (“CSRC”) and Ministry of Finance (“MOF”) of the PRC, in regarding to governing inspections and investigations of audit firms headquartered in mainland China and Hong Kong (the “Agreement”). As stated in the Agreement, the Chinese authorities committed that the PCAOB has direct access to view complete audit work papers under its inspections or investigations and has sole discretion to the selected audit firms and audit engagements. The Agreement opens access for the PCAOB to inspect and investigate the registered public accounting firms in mainland China and Hong Kong completely. The PCAOB then thoroughly tested compliance with every aspect of the Agreement necessary to determine complete access. This included sending a team of PCAOB staff to conduct on-site inspections and investigations in Hong Kong over a nine-week period from September to November 2022.</w:t>
      </w:r>
    </w:p>
    <w:p>
      <w:pPr>
        <w:spacing w:after="0" w:line="192" w:lineRule="exact"/>
        <w:rPr>
          <w:sz w:val="20"/>
          <w:szCs w:val="20"/>
          <w:color w:val="auto"/>
        </w:rPr>
      </w:pPr>
    </w:p>
    <w:p>
      <w:pPr>
        <w:ind w:left="20" w:firstLine="378"/>
        <w:spacing w:after="0" w:line="255" w:lineRule="auto"/>
        <w:rPr>
          <w:sz w:val="20"/>
          <w:szCs w:val="20"/>
          <w:color w:val="auto"/>
        </w:rPr>
      </w:pPr>
      <w:r>
        <w:rPr>
          <w:rFonts w:ascii="Times New Roman" w:cs="Times New Roman" w:eastAsia="Times New Roman" w:hAnsi="Times New Roman"/>
          <w:sz w:val="18"/>
          <w:szCs w:val="18"/>
          <w:color w:val="auto"/>
        </w:rPr>
        <w:t>On December 15, 2022, the PCAOB issued its 2022 HFCAA Determination Report to notify the SEC of its determination that the PCAOB was able to secure complete access to inspect and investigate PCAOB-registered public accounting firms headquartered in China mainland and Hong Kong completely in 2022. The PCAOB Board vacated its 2021 PCAOB Determinations that the PCAOB was unable to inspect or investigate completely registered public accounting firms headquartered in China mainland and Hong Kong. For this reason, we do not expect to be identified as a Commission-Identified Issuer following the filing of our annual report for the fiscal year ended December 31, 2025. However, whether the PCAOB will continue to be able to satisfactorily conduct inspections of PCAOB-registered public accounting firms headquartered in China mainland and Hong Kong is subject to uncertainty and depends on a number of factors out of our, and our auditor’s, control.</w:t>
      </w:r>
    </w:p>
    <w:p>
      <w:pPr>
        <w:spacing w:after="0" w:line="189" w:lineRule="exact"/>
        <w:rPr>
          <w:sz w:val="20"/>
          <w:szCs w:val="20"/>
          <w:color w:val="auto"/>
        </w:rPr>
      </w:pPr>
    </w:p>
    <w:p>
      <w:pPr>
        <w:ind w:left="20" w:right="100" w:firstLine="378"/>
        <w:spacing w:after="0" w:line="258" w:lineRule="auto"/>
        <w:rPr>
          <w:sz w:val="20"/>
          <w:szCs w:val="20"/>
          <w:color w:val="auto"/>
        </w:rPr>
      </w:pPr>
      <w:r>
        <w:rPr>
          <w:rFonts w:ascii="Times New Roman" w:cs="Times New Roman" w:eastAsia="Times New Roman" w:hAnsi="Times New Roman"/>
          <w:sz w:val="18"/>
          <w:szCs w:val="18"/>
          <w:color w:val="auto"/>
        </w:rPr>
        <w:t>The PCAOB is continuing to demand complete access in China mainland and Hong Kong moving forward and is already making plans to resume regular inspections in early 2023 and beyond, as well as to continue pursuing ongoing investigations and initiate new investigations as needed. The PCAOB does not have to wait another year to reassess its determinations. Should the PRC authorities obstruct the PCAOB’s access to inspect or investigate completely in any way and at any point, the PCAOB will act immediately to consider the need to issue new determinations consistent with the HFCAA.</w:t>
      </w:r>
    </w:p>
    <w:p>
      <w:pPr>
        <w:spacing w:after="0" w:line="183" w:lineRule="exact"/>
        <w:rPr>
          <w:sz w:val="20"/>
          <w:szCs w:val="20"/>
          <w:color w:val="auto"/>
        </w:rPr>
      </w:pPr>
    </w:p>
    <w:p>
      <w:pPr>
        <w:jc w:val="both"/>
        <w:ind w:left="20" w:firstLine="396"/>
        <w:spacing w:after="0" w:line="254" w:lineRule="auto"/>
        <w:rPr>
          <w:sz w:val="20"/>
          <w:szCs w:val="20"/>
          <w:color w:val="auto"/>
        </w:rPr>
      </w:pPr>
      <w:r>
        <w:rPr>
          <w:rFonts w:ascii="Times New Roman" w:cs="Times New Roman" w:eastAsia="Times New Roman" w:hAnsi="Times New Roman"/>
          <w:sz w:val="18"/>
          <w:szCs w:val="18"/>
          <w:color w:val="auto"/>
        </w:rPr>
        <w:t>We cannot assure you that our auditor will not be determined as a register public accounting firm that the PCAOB is unable to inspect or investigate completely for two consecutive years because of positions taken by the Chinese authorities and/or any other causes in the future. If the PCAOB in the future again determines that it is unable to inspect and investigate completely auditors in China mainland and Hong Kong, we may be identified as a Commission-Identified Issuer accordingly. If this happens, Nasdaq may determine to delist our common stock, and there is no certainty that we will be able to continue listing our common stock on other non-U.S. stock exchanges or that an active market for our common stock will immediately develop outside of the U.S. The prohibiting from trading in the United States or delisting of our common stock or the threat of their being delisted could cause the value of our common stock to significantly decline or be worthless, and thus you could lose all or substantial portion of your investment.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20" w:firstLine="396"/>
        <w:spacing w:after="0" w:line="255" w:lineRule="auto"/>
        <w:rPr>
          <w:sz w:val="20"/>
          <w:szCs w:val="20"/>
          <w:color w:val="auto"/>
        </w:rPr>
      </w:pPr>
      <w:r>
        <w:rPr>
          <w:rFonts w:ascii="Times New Roman" w:cs="Times New Roman" w:eastAsia="Times New Roman" w:hAnsi="Times New Roman"/>
          <w:sz w:val="18"/>
          <w:szCs w:val="18"/>
          <w:color w:val="auto"/>
        </w:rPr>
        <w:t>Our company was incorporated in the State of Texas in April 2006 and re-domiciled to become a Nevada corporation in October 2006. As a result of a share exchange transaction we consummated with China Net BVI in June 2009, we are now a holding company, which through certain contractual arrangements with operating companies in the PRC and our operating subsidiaries outside of mainland China, is primarily engaged in providing Internet advertising, precision marketing, influencer marketing services as well as the related data and technical services to SMEs. The Company also develops blockchain enabled web/mobile applications and provides software solutions, i.e., Software-as-a-Service (“SaaS”) services for clients, engages in IP licensing services and AI services. As part of an ongoing strategic shift, the Company’s operations are now primarily conducted outside mainland China.</w:t>
      </w:r>
    </w:p>
    <w:p>
      <w:pPr>
        <w:spacing w:after="0" w:line="189" w:lineRule="exact"/>
        <w:rPr>
          <w:sz w:val="20"/>
          <w:szCs w:val="20"/>
          <w:color w:val="auto"/>
        </w:rPr>
      </w:pPr>
    </w:p>
    <w:p>
      <w:pPr>
        <w:ind w:left="20" w:right="100" w:firstLine="396"/>
        <w:spacing w:after="0" w:line="253" w:lineRule="auto"/>
        <w:rPr>
          <w:sz w:val="20"/>
          <w:szCs w:val="20"/>
          <w:color w:val="auto"/>
        </w:rPr>
      </w:pPr>
      <w:r>
        <w:rPr>
          <w:rFonts w:ascii="Times New Roman" w:cs="Times New Roman" w:eastAsia="Times New Roman" w:hAnsi="Times New Roman"/>
          <w:sz w:val="18"/>
          <w:szCs w:val="18"/>
          <w:color w:val="auto"/>
        </w:rPr>
        <w:t>During fiscal 2025, we have strategically repositioned our core business, i.e., our Internet advertising and related marketing service business to have a renewed focus on markets outside of mainland China; as such, the Company’s operations are now primarily conducted outside mainland China. We have shifted our client focus away from the distribution of search engine marketing services in the PRC towards higher margin digital advertising opportunities, including influencer marketing services and providing marketing services in markets outside mainland China. We are also seeking to acquire and build teams with AI capabilities and proprietary intellectual properties that enable more accurate marketing solutions and cost-effective content creation so that we can better service our clients. With over 17 years of experience serving China’s SME sector, the Company has developed deep operational insight into how businesses acquire customers, generate revenue, and scale across markets. Building on this foundation, the Company will expand its capabilities to include AI-enabled applications and deployment solutions, with a focus on enhancing existing service offerings. These initiatives include the development and integration of AI-assisted tools to support customer engagement, financial management, and operational workflows, as well as the incorporation of blockchain-based functionalities for data security, tokenization, and payment processing where applicable. Through these efforts, the Company aims to improve service efficiency and support revenue growth for our SME clients.</w:t>
      </w:r>
    </w:p>
    <w:p>
      <w:pPr>
        <w:spacing w:after="0" w:line="19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580" w:top="580" w:right="339" w:bottom="1440" w:gutter="0" w:footer="0" w:header="0"/>
        </w:sectPr>
      </w:pPr>
    </w:p>
    <w:bookmarkStart w:id="29" w:name="page30"/>
    <w:bookmarkEnd w:id="29"/>
    <w:p>
      <w:pPr>
        <w:ind w:left="260"/>
        <w:spacing w:after="0"/>
        <w:rPr>
          <w:sz w:val="20"/>
          <w:szCs w:val="20"/>
          <w:color w:val="auto"/>
        </w:rPr>
      </w:pPr>
      <w:r>
        <w:rPr>
          <w:rFonts w:ascii="Times New Roman" w:cs="Times New Roman" w:eastAsia="Times New Roman" w:hAnsi="Times New Roman"/>
          <w:sz w:val="18"/>
          <w:szCs w:val="18"/>
          <w:b w:val="1"/>
          <w:bCs w:val="1"/>
          <w:color w:val="auto"/>
        </w:rPr>
        <w:t>Basis of presentation, management estimates and critical accounting policies</w:t>
      </w:r>
    </w:p>
    <w:p>
      <w:pPr>
        <w:spacing w:after="0" w:line="229" w:lineRule="exact"/>
        <w:rPr>
          <w:sz w:val="20"/>
          <w:szCs w:val="20"/>
          <w:color w:val="auto"/>
        </w:rPr>
      </w:pPr>
    </w:p>
    <w:p>
      <w:pPr>
        <w:jc w:val="both"/>
        <w:ind w:left="280" w:right="100" w:firstLine="648"/>
        <w:spacing w:after="0" w:line="253"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generally accepted accounting principles in the United States of America (“U.S. GAAP”) and include the accounts of our company, and all of our subsidiaries and VIEs. We prepare financial statements in conformity with U.S. GAAP, which requires us to make estimates and assumptions that affect the reported amounts of assets and liabilities, disclosure of contingent assets and liabilities on the date of the financial statements and the reported amounts of revenues and expenses during the financial reporting period.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those estimates. Some of our accounting policies require higher degrees of judgment than others in their application. In order to understand the significant accounting policies that we adopted for the preparation of our condensed consolidated interim financial statements, readers should refer to the information set forth in Note 4 “Summary of significant accounting policies” to our audited financial statements in our 2025 Form 10-K.</w:t>
      </w:r>
    </w:p>
    <w:p>
      <w:pPr>
        <w:spacing w:after="0" w:line="194" w:lineRule="exact"/>
        <w:rPr>
          <w:sz w:val="20"/>
          <w:szCs w:val="20"/>
          <w:color w:val="auto"/>
        </w:rPr>
      </w:pPr>
    </w:p>
    <w:p>
      <w:pPr>
        <w:jc w:val="both"/>
        <w:ind w:left="280" w:right="100"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and estimation of current expected credit loss have the greatest potential impacts on our condensed consolidated financial statements. Therefore, we consider these to be our critical accounting policies and estimates.</w:t>
      </w:r>
    </w:p>
    <w:p>
      <w:pPr>
        <w:spacing w:after="0" w:line="176" w:lineRule="exact"/>
        <w:rPr>
          <w:sz w:val="20"/>
          <w:szCs w:val="20"/>
          <w:color w:val="auto"/>
        </w:rPr>
      </w:pPr>
    </w:p>
    <w:p>
      <w:pPr>
        <w:ind w:left="980" w:right="400" w:hanging="324"/>
        <w:spacing w:after="0" w:line="261"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are recognized when control of the promised services is transferred to our customers, in an amount that reflects the consideration we expect to be entitled to in exchange for those services. Our revenues from distribution of the right to use search engine marketing service are recognized on a gross basis, because we determine that we are a principal in the transaction who control the services before they are transferred to our customers.</w:t>
      </w:r>
    </w:p>
    <w:p>
      <w:pPr>
        <w:spacing w:after="0" w:line="179" w:lineRule="exact"/>
        <w:rPr>
          <w:rFonts w:ascii="Times New Roman" w:cs="Times New Roman" w:eastAsia="Times New Roman" w:hAnsi="Times New Roman"/>
          <w:sz w:val="18"/>
          <w:szCs w:val="18"/>
          <w:color w:val="auto"/>
        </w:rPr>
      </w:pPr>
    </w:p>
    <w:p>
      <w:pPr>
        <w:ind w:left="980" w:right="120" w:hanging="324"/>
        <w:spacing w:after="0" w:line="253"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an allowance for credit losses for accounts receivable and short-term loans provided to unrelated parties, which are recorded as valuation accounts that are deducted from the amortized cost basis of the related financial assets to present the net amount expected to be collected on the financial assets. The allowance for credit losses reflects our current estimate of credit losses expected to be incurred over the life of the related financial assets. We consider various factors in establishing, monitoring, and adjusting our allowance for credit losses, including the aging and aging trends, customer/other parties’ creditworthiness and specific exposures related to particular customers/other parties. We also monitor other risk factors and forward-looking information, such as country specific risks and economic factors that may affect a customer/other party’s ability to pay in establishing and adjusting its allowance for credit losses. We assess collectability by reviewing the financial assets on a collective basis where similar characteristics exist and on an individual basis when we identify specific customers/other parties with known disputes or collectability issues. Accounts receivable and short-term loans to unrelated parties are written off after all collection efforts have ceased.</w:t>
      </w:r>
    </w:p>
    <w:p>
      <w:pPr>
        <w:spacing w:after="0" w:line="190" w:lineRule="exact"/>
        <w:rPr>
          <w:rFonts w:ascii="Times New Roman" w:cs="Times New Roman" w:eastAsia="Times New Roman" w:hAnsi="Times New Roman"/>
          <w:sz w:val="18"/>
          <w:szCs w:val="18"/>
          <w:color w:val="auto"/>
        </w:rPr>
      </w:pPr>
    </w:p>
    <w:p>
      <w:pPr>
        <w:ind w:left="860" w:hanging="582"/>
        <w:spacing w:after="0"/>
        <w:tabs>
          <w:tab w:leader="none" w:pos="8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RESULTS OF OPERATIONS FOR THE THREE MONTHS ENDED MARCH 31, 2026 AND 2025</w:t>
      </w:r>
    </w:p>
    <w:p>
      <w:pPr>
        <w:spacing w:after="0" w:line="229" w:lineRule="exact"/>
        <w:rPr>
          <w:sz w:val="20"/>
          <w:szCs w:val="20"/>
          <w:color w:val="auto"/>
        </w:rPr>
      </w:pPr>
    </w:p>
    <w:p>
      <w:pPr>
        <w:ind w:left="280"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for the periods indicated, of our consolidated results of operations. Our historical results presented below are not necessarily indicative of the results that may be expected for any future period. All amounts are presented in thousands of U.S. dollars.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18"/>
                <w:szCs w:val="18"/>
                <w:color w:val="auto"/>
              </w:rPr>
            </w:pPr>
          </w:p>
        </w:tc>
      </w:tr>
      <w:tr>
        <w:trPr>
          <w:trHeight w:val="187"/>
        </w:trPr>
        <w:tc>
          <w:tcPr>
            <w:tcW w:w="34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 $)</w:t>
            </w:r>
          </w:p>
        </w:tc>
      </w:tr>
      <w:tr>
        <w:trPr>
          <w:trHeight w:val="238"/>
        </w:trPr>
        <w:tc>
          <w:tcPr>
            <w:tcW w:w="3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r>
      <w:tr>
        <w:trPr>
          <w:trHeight w:val="216"/>
        </w:trPr>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Borders>
              <w:bottom w:val="single" w:sz="8" w:color="auto"/>
            </w:tcBorders>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(loss)/profit</w:t>
            </w:r>
          </w:p>
        </w:tc>
        <w:tc>
          <w:tcPr>
            <w:tcW w:w="3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c>
          <w:tcPr>
            <w:tcW w:w="100" w:type="dxa"/>
            <w:vAlign w:val="bottom"/>
            <w:tcBorders>
              <w:bottom w:val="single" w:sz="8" w:color="auto"/>
            </w:tcBorders>
            <w:shd w:val="clear" w:color="auto" w:fill="CCEEFF"/>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auto"/>
            </w:tcBorders>
            <w:shd w:val="clear" w:color="auto" w:fill="CCEEFF"/>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Borders>
              <w:bottom w:val="single" w:sz="8" w:color="auto"/>
            </w:tcBorders>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Income/(loss) from operations</w:t>
            </w: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(579)</w:t>
            </w:r>
          </w:p>
        </w:tc>
      </w:tr>
      <w:tr>
        <w:trPr>
          <w:trHeight w:val="216"/>
        </w:trPr>
        <w:tc>
          <w:tcPr>
            <w:tcW w:w="34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3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expenses, net</w:t>
            </w:r>
          </w:p>
        </w:tc>
        <w:tc>
          <w:tcPr>
            <w:tcW w:w="3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34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3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auto"/>
            </w:tcBorders>
            <w:shd w:val="clear" w:color="auto" w:fill="CCEEFF"/>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Income/(loss) before income tax benefit</w:t>
            </w:r>
          </w:p>
        </w:tc>
        <w:tc>
          <w:tcPr>
            <w:tcW w:w="3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(529)</w:t>
            </w:r>
          </w:p>
        </w:tc>
      </w:tr>
      <w:tr>
        <w:trPr>
          <w:trHeight w:val="216"/>
        </w:trPr>
        <w:tc>
          <w:tcPr>
            <w:tcW w:w="34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3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340" w:type="dxa"/>
            <w:vAlign w:val="bottom"/>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3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(530)</w:t>
            </w:r>
          </w:p>
        </w:tc>
      </w:tr>
      <w:tr>
        <w:trPr>
          <w:trHeight w:val="412"/>
        </w:trPr>
        <w:tc>
          <w:tcPr>
            <w:tcW w:w="340" w:type="dxa"/>
            <w:vAlign w:val="bottom"/>
          </w:tcPr>
          <w:p>
            <w:pPr>
              <w:spacing w:after="0"/>
              <w:rPr>
                <w:sz w:val="24"/>
                <w:szCs w:val="24"/>
                <w:color w:val="auto"/>
              </w:rPr>
            </w:pPr>
          </w:p>
        </w:tc>
        <w:tc>
          <w:tcPr>
            <w:tcW w:w="4100" w:type="dxa"/>
            <w:vAlign w:val="bottom"/>
            <w:tcBorders>
              <w:top w:val="single" w:sz="8" w:color="CCEEFF"/>
            </w:tcBorders>
          </w:tcPr>
          <w:p>
            <w:pPr>
              <w:spacing w:after="0"/>
              <w:rPr>
                <w:sz w:val="24"/>
                <w:szCs w:val="24"/>
                <w:color w:val="auto"/>
              </w:rPr>
            </w:pPr>
          </w:p>
        </w:tc>
        <w:tc>
          <w:tcPr>
            <w:tcW w:w="3720" w:type="dxa"/>
            <w:vAlign w:val="bottom"/>
            <w:tcBorders>
              <w:top w:val="single" w:sz="8" w:color="CCEEFF"/>
            </w:tcBorders>
          </w:tcPr>
          <w:p>
            <w:pPr>
              <w:jc w:val="right"/>
              <w:ind w:right="235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37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bl>
    <w:p>
      <w:pPr>
        <w:sectPr>
          <w:pgSz w:w="11900" w:h="16838" w:orient="portrait"/>
          <w:cols w:equalWidth="0" w:num="1">
            <w:col w:w="11340"/>
          </w:cols>
          <w:pgMar w:left="320" w:top="576"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jc w:val="both"/>
        <w:ind w:left="20"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a breakdown of our total revenues, disaggregated by type of services for the periods indicated, with inter-company transactions eliminated:</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540" w:type="dxa"/>
            <w:vAlign w:val="bottom"/>
            <w:tcBorders>
              <w:bottom w:val="single" w:sz="8" w:color="auto"/>
            </w:tcBorders>
          </w:tcPr>
          <w:p>
            <w:pPr>
              <w:spacing w:after="0"/>
              <w:rPr>
                <w:sz w:val="20"/>
                <w:szCs w:val="20"/>
                <w:color w:val="auto"/>
              </w:rPr>
            </w:pPr>
          </w:p>
        </w:tc>
      </w:tr>
      <w:tr>
        <w:trPr>
          <w:trHeight w:val="209"/>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8"/>
                <w:szCs w:val="18"/>
                <w:color w:val="auto"/>
              </w:rPr>
            </w:pPr>
          </w:p>
        </w:tc>
      </w:tr>
      <w:tr>
        <w:trPr>
          <w:trHeight w:val="187"/>
        </w:trPr>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40" w:type="dxa"/>
            <w:vAlign w:val="bottom"/>
            <w:gridSpan w:val="9"/>
          </w:tcPr>
          <w:p>
            <w:pPr>
              <w:jc w:val="center"/>
              <w:ind w:lef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(Amounts expressed in thousands of US dollars, except</w:t>
            </w:r>
          </w:p>
        </w:tc>
        <w:tc>
          <w:tcPr>
            <w:tcW w:w="540" w:type="dxa"/>
            <w:vAlign w:val="bottom"/>
          </w:tcPr>
          <w:p>
            <w:pPr>
              <w:spacing w:after="0"/>
              <w:rPr>
                <w:sz w:val="16"/>
                <w:szCs w:val="16"/>
                <w:color w:val="auto"/>
              </w:rPr>
            </w:pPr>
          </w:p>
        </w:tc>
      </w:tr>
      <w:tr>
        <w:trPr>
          <w:trHeight w:val="238"/>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 type</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percentages)</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09"/>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advertising and related marketing service</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of the right to use search engine marketing service</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advertising and related services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AI Services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 Services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Blockchain-based SaaS services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3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jc w:val="both"/>
        <w:ind w:left="2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Total Revenues: </w:t>
      </w:r>
      <w:r>
        <w:rPr>
          <w:rFonts w:ascii="Times New Roman" w:cs="Times New Roman" w:eastAsia="Times New Roman" w:hAnsi="Times New Roman"/>
          <w:sz w:val="18"/>
          <w:szCs w:val="18"/>
          <w:color w:val="auto"/>
        </w:rPr>
        <w:t>Our total revenues decreased to US$0.38 million for the three months ended March 31, 2026 from US$1.65 million for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last year. This decline was primarily due to a temporary reduction in demand for our services, driven in part by broader economic headwinds. The Company is refocusing its efforts on expanding its AI services segment. As part of an ongoing strategic shift, the Company’s operations are now primarily conducted outside mainland China.</w:t>
      </w:r>
    </w:p>
    <w:p>
      <w:pPr>
        <w:spacing w:after="0" w:line="180" w:lineRule="exact"/>
        <w:rPr>
          <w:sz w:val="20"/>
          <w:szCs w:val="20"/>
          <w:color w:val="auto"/>
        </w:rPr>
      </w:pPr>
    </w:p>
    <w:p>
      <w:pPr>
        <w:ind w:left="340" w:right="120" w:hanging="322"/>
        <w:spacing w:after="0" w:line="255"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advertising revenues for the three months ended March 31, 2026 was approximately US$0.28 million, compared with US$0.97 million for the three months ended March 31, 2025. The decrease primarily resulted from a temporary reduction in demand for our services, driven in part by broader economic headwinds. Our internet advertising and related marketing services includes our influencer marketing services. We connect brands with the right voices to effectively promote their products and drive engagement. In addition, we provide tailored digital marketing services, including the management of online advertising campaigns across major search, social media, and mobile application platforms, as well as app store page optimization. We also offer marketing strategy and branding consultation services designed to help clients improve their market positioning and maximize the effectiveness of their digital marketing initiatives.</w:t>
      </w:r>
    </w:p>
    <w:p>
      <w:pPr>
        <w:spacing w:after="0" w:line="188" w:lineRule="exact"/>
        <w:rPr>
          <w:rFonts w:ascii="Times New Roman" w:cs="Times New Roman" w:eastAsia="Times New Roman" w:hAnsi="Times New Roman"/>
          <w:sz w:val="18"/>
          <w:szCs w:val="18"/>
          <w:color w:val="auto"/>
        </w:rPr>
      </w:pPr>
    </w:p>
    <w:p>
      <w:pPr>
        <w:ind w:left="340" w:right="400" w:hanging="32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distribution of the right to use search engine marketing service was approximately nil and US$0.05 million for the three months ended March 31, 2026 and 2025, respectively. The decrease was mainly due to the winding down of our distribution of the right to use search engine marketing service in the PRC, after experiencing low to negative margins in this business segment over the past several years.</w:t>
      </w:r>
    </w:p>
    <w:p>
      <w:pPr>
        <w:spacing w:after="0" w:line="175" w:lineRule="exact"/>
        <w:rPr>
          <w:rFonts w:ascii="Times New Roman" w:cs="Times New Roman" w:eastAsia="Times New Roman" w:hAnsi="Times New Roman"/>
          <w:sz w:val="18"/>
          <w:szCs w:val="18"/>
          <w:color w:val="auto"/>
        </w:rPr>
      </w:pPr>
    </w:p>
    <w:p>
      <w:pPr>
        <w:ind w:left="340" w:right="120" w:hanging="32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our AI services was approximately US$0.04 million and nil for the three months ended March 31, 2026 and 2025, respectively. Our AI services include code generation, AI agent design and deployment, business consulting and implementation, and ongoing maintenance and optimization of AI systems for our clients.</w:t>
      </w:r>
    </w:p>
    <w:p>
      <w:pPr>
        <w:spacing w:after="0" w:line="17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580" w:top="576" w:right="239" w:bottom="1440" w:gutter="0" w:footer="0" w:header="0"/>
        </w:sectPr>
      </w:pPr>
    </w:p>
    <w:bookmarkStart w:id="31" w:name="page32"/>
    <w:bookmarkEnd w:id="31"/>
    <w:p>
      <w:pPr>
        <w:ind w:left="340" w:right="400" w:hanging="322"/>
        <w:spacing w:after="0" w:line="312" w:lineRule="auto"/>
        <w:tabs>
          <w:tab w:leader="none" w:pos="3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from IP services was approximately US$0.06 million and US$0.02 million for the three months ended March 31, 2026 and 2025, respectively. Our IP services revenue was primarily related to licensing activities associated with intellectual property acquired through Rahula.</w:t>
      </w:r>
    </w:p>
    <w:p>
      <w:pPr>
        <w:spacing w:after="0" w:line="139" w:lineRule="exact"/>
        <w:rPr>
          <w:rFonts w:ascii="Times New Roman" w:cs="Times New Roman" w:eastAsia="Times New Roman" w:hAnsi="Times New Roman"/>
          <w:sz w:val="17"/>
          <w:szCs w:val="17"/>
          <w:color w:val="auto"/>
        </w:rPr>
      </w:pPr>
    </w:p>
    <w:p>
      <w:pPr>
        <w:ind w:left="340" w:right="340" w:hanging="32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Blockchain-based SaaS services revenue for the three months ended March 31, 2026 was approximately nil, compared with US$0.62 million for the three months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jc w:val="both"/>
        <w:ind w:left="20" w:right="100" w:firstLine="648"/>
        <w:spacing w:after="0" w:line="261" w:lineRule="auto"/>
        <w:rPr>
          <w:sz w:val="20"/>
          <w:szCs w:val="20"/>
          <w:color w:val="auto"/>
        </w:rPr>
      </w:pPr>
      <w:r>
        <w:rPr>
          <w:rFonts w:ascii="Times New Roman" w:cs="Times New Roman" w:eastAsia="Times New Roman" w:hAnsi="Times New Roman"/>
          <w:sz w:val="18"/>
          <w:szCs w:val="18"/>
          <w:color w:val="auto"/>
        </w:rPr>
        <w:t>Our cost of revenues primarily consists of search engine marketing resources purchased from key search engines, influencer agency costs, cost of marketing services, amortization of intellectual property cost, direct costs relating to providing our AI services, costs relating to enhancing our blockchain-based SaaS services and other direct costs associated with providing our services. The following table sets forth our cost of revenues, disaggregated by type of services, by amount and gross profit ratio for the periods indicated, with inter-company transactions eliminated:</w:t>
      </w: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73"/>
              </w:rPr>
              <w:t>of</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(Amounts expressed in thousands</w:t>
            </w:r>
          </w:p>
        </w:tc>
        <w:tc>
          <w:tcPr>
            <w:tcW w:w="100" w:type="dxa"/>
            <w:vAlign w:val="bottom"/>
            <w:tcBorders>
              <w:bottom w:val="single" w:sz="8" w:color="auto"/>
            </w:tcBorders>
            <w:vMerge w:val="continue"/>
          </w:tcPr>
          <w:p>
            <w:pPr>
              <w:spacing w:after="0"/>
              <w:rPr>
                <w:sz w:val="18"/>
                <w:szCs w:val="18"/>
                <w:color w:val="auto"/>
              </w:rPr>
            </w:pPr>
          </w:p>
        </w:tc>
        <w:tc>
          <w:tcPr>
            <w:tcW w:w="2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US dollars, except percentages)</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GP ratio</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GP ratio</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-Internet advertising and related</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service</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-Distribution of the right to use search</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17"/>
                <w:szCs w:val="17"/>
                <w:color w:val="auto"/>
              </w:rPr>
            </w:pPr>
          </w:p>
        </w:tc>
        <w:tc>
          <w:tcPr>
            <w:tcW w:w="1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vMerge w:val="restart"/>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1"/>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engine marketing service</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advertising and related services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AI Services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IP Services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Blockchain-based SaaS services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20"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our total cost of revenues decreased to US$0.36 million for the three months ended March 31, 2026 from US$1.49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March 31, 2025. Our cost of revenues primarily consists of influencer agency costs, cost of marketing services, amortization of intellectual property cost, direct costs relating to providing our AI services, costs relating to enhancing our blockchain-based SaaS services and other direct costs associated with providing our services. The decrease in our total cost of revenues for the three months ended March 31, 2026 was primarily due to the decrease in costs associated with the Internet advertising and related marketing service, which was in line with the decrease in the related revenues as discussed in the revenues section above.</w:t>
      </w:r>
    </w:p>
    <w:p>
      <w:pPr>
        <w:spacing w:after="0" w:line="186" w:lineRule="exact"/>
        <w:rPr>
          <w:sz w:val="20"/>
          <w:szCs w:val="20"/>
          <w:color w:val="auto"/>
        </w:rPr>
      </w:pPr>
    </w:p>
    <w:p>
      <w:pPr>
        <w:ind w:left="340" w:right="200" w:hanging="322"/>
        <w:spacing w:after="0" w:line="255"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Internet advertising and marketing service primarily consist of fees paid to service providers who support delivering media planning, creative development, and digital ad management services to our Hong Kong and overseas clients. Our costs also include the cost of operating our influencer marketing services which includes the fees for collaborating with various influencer agencies. For the three months ended March 31, 2026, our total cost of revenues for Internet advertising and related marketing service decreased to approximately US$0.27 million from US$0.88 million for the three months ended March 31, 2025, which was in line with the decrease in revenues as discussed in the revenues section above. The gross margin rate of our Internet advertising and data service was 6.3% and 9.3% for the three months ended March 31, 2026 and 2025, respectively.</w:t>
      </w:r>
    </w:p>
    <w:p>
      <w:pPr>
        <w:spacing w:after="0" w:line="188" w:lineRule="exact"/>
        <w:rPr>
          <w:rFonts w:ascii="Times New Roman" w:cs="Times New Roman" w:eastAsia="Times New Roman" w:hAnsi="Times New Roman"/>
          <w:sz w:val="18"/>
          <w:szCs w:val="18"/>
          <w:color w:val="auto"/>
        </w:rPr>
      </w:pPr>
    </w:p>
    <w:p>
      <w:pPr>
        <w:ind w:left="340" w:right="100" w:hanging="322"/>
        <w:spacing w:after="0" w:line="254"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distribution of the right to use search engine marketing service represented the direct search engine resource consumed for the right to use search engine marketing service that we purchased from key search engines and distributed to our customers. We purchased these search engine resources from well-known search engines in China, for example, Baidu, Qihu 360 and Sohu (Sogou). We purchased the resource in relatively large amounts under our own name at a relatively lower rate compared to the market rates. We charged our clients the actual cost they consumed on search engines for the use of this service and a premium at certain percentage of that actual consumed cost. For the three months ended March 31, 2026 and 2025, our total cost of revenues for distribution of the right to use search engine marketing service was approximately nil and US$0.04 million, respectively. This decrease in costs was in line with the decline in revenues discussed earlier in the revenues section. The gross margin rate for this service was 20.4% for the three months ended March 31, 2025.</w:t>
      </w:r>
    </w:p>
    <w:p>
      <w:pPr>
        <w:spacing w:after="0" w:line="19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580" w:top="580" w:right="239" w:bottom="1440" w:gutter="0" w:footer="0" w:header="0"/>
        </w:sectPr>
      </w:pPr>
    </w:p>
    <w:bookmarkStart w:id="32" w:name="page33"/>
    <w:bookmarkEnd w:id="32"/>
    <w:p>
      <w:pPr>
        <w:ind w:left="540" w:right="280" w:hanging="322"/>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our AI services primarily consist of outsourcing AI code generation, agent design, system integration, and deployment services. For the three months ended March 31, 2026, our total cost of revenues for AI services was approximately US$0.03 million. Gross margin rate of this segment was 18.4% for the three months ended March 31, 2026.</w:t>
      </w:r>
    </w:p>
    <w:p>
      <w:pPr>
        <w:spacing w:after="0" w:line="175" w:lineRule="exact"/>
        <w:rPr>
          <w:rFonts w:ascii="Times New Roman" w:cs="Times New Roman" w:eastAsia="Times New Roman" w:hAnsi="Times New Roman"/>
          <w:sz w:val="18"/>
          <w:szCs w:val="18"/>
          <w:color w:val="auto"/>
        </w:rPr>
      </w:pPr>
    </w:p>
    <w:p>
      <w:pPr>
        <w:jc w:val="both"/>
        <w:ind w:left="540" w:right="420" w:hanging="322"/>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our IP service primarily consist of the amortization of the intellectual properties acquired through Rahula. For the three months ended March 31, 2026 and 2025, our total cost of revenues for our IP services was approximately US$0.06 million and US$0.01 million, respectively. Gross margin rate of this service for the three months ended March 31, 2026 and 2025 was 3.3% and 27.8%, respectively.</w:t>
      </w:r>
    </w:p>
    <w:p>
      <w:pPr>
        <w:spacing w:after="0" w:line="175" w:lineRule="exact"/>
        <w:rPr>
          <w:rFonts w:ascii="Times New Roman" w:cs="Times New Roman" w:eastAsia="Times New Roman" w:hAnsi="Times New Roman"/>
          <w:sz w:val="18"/>
          <w:szCs w:val="18"/>
          <w:color w:val="auto"/>
        </w:rPr>
      </w:pPr>
    </w:p>
    <w:p>
      <w:pPr>
        <w:ind w:left="540" w:right="440" w:hanging="322"/>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and 2025, cost of our blockchain-based SaaS services was approximately nil and US$0.56 million, respectively. Gross margin rate of this service for the three months ended March 31, 2025 was 9%.</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jc w:val="both"/>
        <w:ind w:left="220" w:right="10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foregoing, we generated a gross profit of approximately US$0.03 million for the three months ended March 31, 2026, compared with a gross profit of approximately US$0.16 million generated for the three months ended March 31, 2025. Our overall gross margin rate decreased to 7% for the three months ended March 31, 2026, compared with 10% for the three months ended March 31, 2025. The decrease in gross profit and gross profit margin were primarily due to the temporary decrease in demand for our Internet advertising and marketing related services, driven in part by broader economic headwinds.</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ind w:left="220" w:right="100" w:firstLine="648"/>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expenses, general and administrative expenses and research and development expenses. The following tables set forth our operating expenses, divided into their major categories by amount and as a percentage of our total revenues for the periods indicated.</w:t>
      </w:r>
    </w:p>
    <w:p>
      <w:pPr>
        <w:spacing w:after="0" w:line="172" w:lineRule="exact"/>
        <w:rPr>
          <w:sz w:val="20"/>
          <w:szCs w:val="20"/>
          <w:color w:val="auto"/>
        </w:rPr>
      </w:pPr>
    </w:p>
    <w:tbl>
      <w:tblPr>
        <w:tblLayout w:type="fixed"/>
        <w:tblInd w:w="28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120" w:type="dxa"/>
            <w:vAlign w:val="bottom"/>
            <w:tcBorders>
              <w:bottom w:val="single" w:sz="8" w:color="auto"/>
            </w:tcBorders>
          </w:tcPr>
          <w:p>
            <w:pPr>
              <w:spacing w:after="0"/>
              <w:rPr>
                <w:sz w:val="20"/>
                <w:szCs w:val="20"/>
                <w:color w:val="auto"/>
              </w:rPr>
            </w:pPr>
          </w:p>
        </w:tc>
      </w:tr>
      <w:tr>
        <w:trPr>
          <w:trHeight w:val="209"/>
        </w:trPr>
        <w:tc>
          <w:tcPr>
            <w:tcW w:w="4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Borders>
              <w:bottom w:val="single" w:sz="8" w:color="auto"/>
            </w:tcBorders>
          </w:tcPr>
          <w:p>
            <w:pPr>
              <w:spacing w:after="0"/>
              <w:rPr>
                <w:sz w:val="18"/>
                <w:szCs w:val="18"/>
                <w:color w:val="auto"/>
              </w:rPr>
            </w:pPr>
          </w:p>
        </w:tc>
      </w:tr>
      <w:tr>
        <w:trPr>
          <w:trHeight w:val="187"/>
        </w:trPr>
        <w:tc>
          <w:tcPr>
            <w:tcW w:w="4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80" w:type="dxa"/>
            <w:vAlign w:val="bottom"/>
            <w:gridSpan w:val="9"/>
          </w:tcPr>
          <w:p>
            <w:pPr>
              <w:jc w:val="center"/>
              <w:ind w:right="2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(Amounts expressed in thousands of US dollars, except</w:t>
            </w:r>
          </w:p>
        </w:tc>
      </w:tr>
      <w:tr>
        <w:trPr>
          <w:trHeight w:val="238"/>
        </w:trPr>
        <w:tc>
          <w:tcPr>
            <w:tcW w:w="4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percentages)</w:t>
            </w:r>
          </w:p>
        </w:tc>
        <w:tc>
          <w:tcPr>
            <w:tcW w:w="1120" w:type="dxa"/>
            <w:vAlign w:val="bottom"/>
            <w:tcBorders>
              <w:bottom w:val="single" w:sz="8" w:color="auto"/>
            </w:tcBorders>
          </w:tcPr>
          <w:p>
            <w:pPr>
              <w:spacing w:after="0"/>
              <w:rPr>
                <w:sz w:val="20"/>
                <w:szCs w:val="20"/>
                <w:color w:val="auto"/>
              </w:rPr>
            </w:pPr>
          </w:p>
        </w:tc>
      </w:tr>
      <w:tr>
        <w:trPr>
          <w:trHeight w:val="191"/>
        </w:trPr>
        <w:tc>
          <w:tcPr>
            <w:tcW w:w="4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 of total</w:t>
            </w:r>
          </w:p>
        </w:tc>
      </w:tr>
      <w:tr>
        <w:trPr>
          <w:trHeight w:val="234"/>
        </w:trPr>
        <w:tc>
          <w:tcPr>
            <w:tcW w:w="4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100" w:type="dxa"/>
            <w:vAlign w:val="bottom"/>
          </w:tcPr>
          <w:p>
            <w:pPr>
              <w:spacing w:after="0"/>
              <w:rPr>
                <w:sz w:val="20"/>
                <w:szCs w:val="20"/>
                <w:color w:val="auto"/>
              </w:rPr>
            </w:pP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Amount</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revenue</w:t>
            </w:r>
          </w:p>
        </w:tc>
      </w:tr>
      <w:tr>
        <w:trPr>
          <w:trHeight w:val="210"/>
        </w:trPr>
        <w:tc>
          <w:tcPr>
            <w:tcW w:w="4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bl>
    <w:p>
      <w:pPr>
        <w:spacing w:after="0" w:line="194" w:lineRule="exact"/>
        <w:rPr>
          <w:sz w:val="20"/>
          <w:szCs w:val="20"/>
          <w:color w:val="auto"/>
        </w:rPr>
      </w:pPr>
    </w:p>
    <w:p>
      <w:pPr>
        <w:ind w:left="2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Total operating expenses was approximately negative US$0.05 million for the three months ended March 31, 2026,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expenses of approximately US$0.74 million for the same period in 2025.</w:t>
      </w:r>
    </w:p>
    <w:p>
      <w:pPr>
        <w:spacing w:after="0" w:line="159" w:lineRule="exact"/>
        <w:rPr>
          <w:sz w:val="20"/>
          <w:szCs w:val="20"/>
          <w:color w:val="auto"/>
        </w:rPr>
      </w:pPr>
    </w:p>
    <w:p>
      <w:pPr>
        <w:ind w:left="320" w:right="140" w:hanging="318"/>
        <w:spacing w:after="0" w:line="254"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General and administrative expenses was approximately negative US$0.05 million for the three months ended March 31, 2026, compared to operating expenses of approximately US$0.74 million for the same period in 2025.Our general and administrative expenses primarily consist of salaries and benefits of management, accounting, human resources and administrative personnel, office rentals, depreciation of office equipment, allowance for credit losses, professional service fees, maintenance, utilities and other general office expenses of our supporting and administrative departments. For the three months ended March 31, 2026, the changes in our general and administrative expenses was primarily due to the decrease in general administrative expenses of approximately US$0.09 million, as a result of the cost reduction plan executed by management during the first fiscal quarter of 2025, decrease in allowance for credit losses of approximately US$0.57 million resulting from a reversal of allowances for credit losses and decreases in share-based compensation of approximately US$0.14 million.</w:t>
      </w:r>
    </w:p>
    <w:p>
      <w:pPr>
        <w:spacing w:after="0" w:line="187" w:lineRule="exact"/>
        <w:rPr>
          <w:rFonts w:ascii="Times New Roman" w:cs="Times New Roman" w:eastAsia="Times New Roman" w:hAnsi="Times New Roman"/>
          <w:sz w:val="18"/>
          <w:szCs w:val="18"/>
          <w:color w:val="auto"/>
        </w:rPr>
      </w:pPr>
    </w:p>
    <w:p>
      <w:pPr>
        <w:ind w:left="320" w:right="460" w:hanging="318"/>
        <w:spacing w:after="0" w:line="286" w:lineRule="auto"/>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As a result of the foregoing, we incurred a income from operations of approximately US$0.08 million and a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operations of approximately US$0.58 million for the three months ended March 31, 2026 and 2025, respectively.</w:t>
      </w:r>
    </w:p>
    <w:p>
      <w:pPr>
        <w:spacing w:after="0" w:line="15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80" w:top="580" w:right="239" w:bottom="1440" w:gutter="0" w:footer="0" w:header="0"/>
        </w:sectPr>
      </w:pPr>
    </w:p>
    <w:bookmarkStart w:id="33" w:name="page34"/>
    <w:bookmarkEnd w:id="33"/>
    <w:p>
      <w:pPr>
        <w:jc w:val="both"/>
        <w:ind w:lef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income: </w:t>
      </w:r>
      <w:r>
        <w:rPr>
          <w:rFonts w:ascii="Times New Roman" w:cs="Times New Roman" w:eastAsia="Times New Roman" w:hAnsi="Times New Roman"/>
          <w:sz w:val="18"/>
          <w:szCs w:val="18"/>
          <w:color w:val="auto"/>
        </w:rPr>
        <w:t>For the three months ended March 31, 2026 and 2025, we recognized an approximately US$0.05 million and US$0.05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income, respectively, which was primarily related to the interest we earned from the short-term loans we provided to unrelated parties.</w:t>
      </w:r>
    </w:p>
    <w:p>
      <w:pPr>
        <w:spacing w:after="0" w:line="155"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Income/(loss) before income tax benefit/(expense): </w:t>
      </w:r>
      <w:r>
        <w:rPr>
          <w:rFonts w:ascii="Times New Roman" w:cs="Times New Roman" w:eastAsia="Times New Roman" w:hAnsi="Times New Roman"/>
          <w:sz w:val="18"/>
          <w:szCs w:val="18"/>
          <w:color w:val="auto"/>
        </w:rPr>
        <w:t>As a result of the foregoing, our income before income tax benefit/(expense) was approximately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US$0.12 million and our loss before income tax benefit/(expense) was US$0.53 million for the three months ended March 31, 2026 and 2025, respectively.</w:t>
      </w:r>
    </w:p>
    <w:p>
      <w:pPr>
        <w:spacing w:after="0" w:line="171"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Tax benefit/(expenses): </w:t>
      </w:r>
      <w:r>
        <w:rPr>
          <w:rFonts w:ascii="Times New Roman" w:cs="Times New Roman" w:eastAsia="Times New Roman" w:hAnsi="Times New Roman"/>
          <w:sz w:val="18"/>
          <w:szCs w:val="18"/>
          <w:color w:val="auto"/>
        </w:rPr>
        <w:t>For the three months ended March 31, 2026 and 2025, we recognized approximately US$0.003 million in income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and US$0.001 million in income tax expense, respectively. These benefits were related to the net operating loss incurred by one of our operating VIEs for each respective period. We anticipate these losses will likely be utilized against future earnings of this entity.</w:t>
      </w:r>
    </w:p>
    <w:p>
      <w:pPr>
        <w:spacing w:after="0" w:line="171"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Income/(loss): </w:t>
      </w:r>
      <w:r>
        <w:rPr>
          <w:rFonts w:ascii="Times New Roman" w:cs="Times New Roman" w:eastAsia="Times New Roman" w:hAnsi="Times New Roman"/>
          <w:sz w:val="18"/>
          <w:szCs w:val="18"/>
          <w:color w:val="auto"/>
        </w:rPr>
        <w:t>As a result of the foregoing, for the three months ended March 31, 2026 and 2025, we incurred a net income of approximately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US$0.13 million and a net loss of approximately US$0.85 million, respectively.</w:t>
      </w:r>
    </w:p>
    <w:p>
      <w:pPr>
        <w:spacing w:after="0" w:line="155" w:lineRule="exact"/>
        <w:rPr>
          <w:sz w:val="20"/>
          <w:szCs w:val="20"/>
          <w:color w:val="auto"/>
        </w:rPr>
      </w:pPr>
    </w:p>
    <w:p>
      <w:pPr>
        <w:ind w:left="580" w:hanging="562"/>
        <w:spacing w:after="0"/>
        <w:tabs>
          <w:tab w:leader="none" w:pos="5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Transfer within Our Organization and the Related Restrictions</w:t>
      </w:r>
    </w:p>
    <w:p>
      <w:pPr>
        <w:spacing w:after="0" w:line="229"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We are a Nevada holding company with operations primarily conducted in China through our PRC subsidiaries, VIEs and VIEs’ subsidiaries. The intercompany flow of funds within our organization is effected through capital contributions and intercompany loans. We do not have written policies regarding intercompany cash transfer within our organization. In accordance with our current internal cash management practices, all intercompany cash transfer within our organization requires prior approval by our financial director and our chief financial officer/or our chief executive officer before execution.</w:t>
      </w:r>
    </w:p>
    <w:p>
      <w:pPr>
        <w:spacing w:after="0" w:line="183"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As we conduct our operations primarily in China through our PRC subsidiaries, VIEs and their subsidiaries, and we intend to transfer most of our cash raised from the U.S. stock market to these operating entities to support their operations and expansions, our ability to pay dividends to U.S. investors may depend on receiving distributions from our PRC subsidiaries and settlement of the amounts owed under the VIE agreements from the consolidated VIEs. Any limitation on the ability of our PRC subsidiaries and the consolidated VIEs to make payments to us, or the tax implications of making payments to us, could have a material adverse effect on our ability to pay dividends to our U.S. investors.</w:t>
      </w:r>
    </w:p>
    <w:p>
      <w:pPr>
        <w:spacing w:after="0" w:line="183" w:lineRule="exact"/>
        <w:rPr>
          <w:sz w:val="20"/>
          <w:szCs w:val="20"/>
          <w:color w:val="auto"/>
        </w:rPr>
      </w:pPr>
    </w:p>
    <w:p>
      <w:pPr>
        <w:jc w:val="both"/>
        <w:ind w:left="20" w:firstLine="648"/>
        <w:spacing w:after="0" w:line="253" w:lineRule="auto"/>
        <w:rPr>
          <w:sz w:val="20"/>
          <w:szCs w:val="20"/>
          <w:color w:val="auto"/>
        </w:rPr>
      </w:pPr>
      <w:r>
        <w:rPr>
          <w:rFonts w:ascii="Times New Roman" w:cs="Times New Roman" w:eastAsia="Times New Roman" w:hAnsi="Times New Roman"/>
          <w:sz w:val="18"/>
          <w:szCs w:val="18"/>
          <w:color w:val="auto"/>
        </w:rPr>
        <w:t>The PRC regulations currently permit payment of dividends only out of accumulated profits, as determined in accordance with PRC accounting standards and regulations. Our PRC subsidiaries, the consolidated VIEs and their subsidiaries in China are also required to set aside at least 10% of their respective after-tax profit based on the PRC accounting standards and regulations each year to the statutory surplus reserve, until the balance in the reserve reaches 50% of the registered capital of the respective PRC entities. In accordance with these PRC laws and regulations, our PRC subsidiaries, the consolidated VIEs and their subsidiaries are restricted in their ability to transfer a portion of their net assets to us. As of March 31, 2026 and December 31, 2025, net assets restricted in the aggregate, which include paid-in capital and statutory reserve funds of our PRC subsidiaries, the consolidated VIEs and their subsidiaries that are included in our consolidated net assets, were approximately US$13.10 million and US$13.11 million, respectively. Appropriations to the enterprise expansion fund and staff welfare and bonus fund of a foreign-invested PRC entity and appropriation to the discretionary surplus reserve of other PRC entities are at the discretion of the board of directors. To date, none of our PRC subsidiaries, the consolidated VIEs and their subsidiaries appropriated any of these non-mandatory funds and reserves. Furthermore, if these entities incur debt on their own in the future, the instruments governing the debt may restrict their ability to pay dividends or make other payments.</w:t>
      </w:r>
    </w:p>
    <w:p>
      <w:pPr>
        <w:spacing w:after="0" w:line="192" w:lineRule="exact"/>
        <w:rPr>
          <w:sz w:val="20"/>
          <w:szCs w:val="20"/>
          <w:color w:val="auto"/>
        </w:rPr>
      </w:pPr>
    </w:p>
    <w:p>
      <w:pPr>
        <w:jc w:val="both"/>
        <w:ind w:left="20" w:firstLine="648"/>
        <w:spacing w:after="0" w:line="253" w:lineRule="auto"/>
        <w:rPr>
          <w:sz w:val="20"/>
          <w:szCs w:val="20"/>
          <w:color w:val="auto"/>
        </w:rPr>
      </w:pPr>
      <w:r>
        <w:rPr>
          <w:rFonts w:ascii="Times New Roman" w:cs="Times New Roman" w:eastAsia="Times New Roman" w:hAnsi="Times New Roman"/>
          <w:sz w:val="18"/>
          <w:szCs w:val="18"/>
          <w:color w:val="auto"/>
        </w:rPr>
        <w:t>Under the PRC Enterprise Income Tax (“EIT”) Law and related regulations, dividends, interests, rent or royalties payable by a foreign-invested enterprise to its immediate holding company outside China are subject to a 10% withholding tax. A lower withholding tax rate will be applied if there is a tax treaty arrangement between mainland China and the jurisdiction of the foreign holding company. Hong Kong has a tax arrangement with China that provides for a 5% withholding tax on dividends subject to certain conditions and requirements, such as the requirements that the Hong Kong enterprise owns at least 25% of the PRC enterprise distributing the dividend at all times within the 12-month period immediately preceding the distribution of dividends and provides that the recipient can demonstrate it is a Hong Kong tax resident and it is the beneficial owner of the dividends. The PRC government adopted regulations in 2018 which stipulate that in determining whether a non-resident enterprise has the status as a beneficial owner, comprehensive analysis shall be conducted based on the factors listed therein and the actual circumstances of the specific case shall be taken into consideration. Specifically, it expressly excludes an agent or a designated payee from being considered as a “beneficial owner”. We own our PRC subsidiaries through China Net HK. China Net HK currently does not hold a Hong Kong tax resident certificate from the Inland Revenue Department of Hong Kong, there is no assurance that the reduced withholding tax rate will be available for us. If China Net HK is not considered to be the “beneficial owner” of the dividends by the Chinese local tax authority, any dividends paid to it by our PRC subsidiaries would be subject to a withholding tax rate of 10%.</w:t>
      </w:r>
    </w:p>
    <w:p>
      <w:pPr>
        <w:spacing w:after="0" w:line="18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580" w:top="576" w:right="339" w:bottom="1440" w:gutter="0" w:footer="0" w:header="0"/>
        </w:sectPr>
      </w:pPr>
    </w:p>
    <w:bookmarkStart w:id="34" w:name="page35"/>
    <w:bookmarkEnd w:id="34"/>
    <w:p>
      <w:pPr>
        <w:jc w:val="both"/>
        <w:ind w:left="20" w:firstLine="648"/>
        <w:spacing w:after="0" w:line="254" w:lineRule="auto"/>
        <w:rPr>
          <w:sz w:val="20"/>
          <w:szCs w:val="20"/>
          <w:color w:val="auto"/>
        </w:rPr>
      </w:pPr>
      <w:r>
        <w:rPr>
          <w:rFonts w:ascii="Times New Roman" w:cs="Times New Roman" w:eastAsia="Times New Roman" w:hAnsi="Times New Roman"/>
          <w:sz w:val="18"/>
          <w:szCs w:val="18"/>
          <w:color w:val="auto"/>
        </w:rPr>
        <w:t>There are no restrictions for the consolidated VIEs to settle the amounts owed under the VIE agreements to our WFOE. However, arrangements and transactions among affiliated entities may be subject to audit or challenge by the PRC tax authorities. If at any time the VIE agreements and the related fee structure between the consolidated VIEs and our WFOE is determined to be non-substantive and disallowed by Chinese tax authorities, the consolidated VIEs could, as a matter of last resort, make a non-deductible transfer to our WFOE for the amounts owed under the VIE agreements. This would result in such transfer being non-deductible expenses for the consolidated VIEs but still taxable income for our WFOE. If this happens, it may increase our tax burden and reduce our after-tax income in the PRC, and may materially and adversely affect our ability to make distributions to the holding company. Our management is of the view that the likelihood that this scenario would happen is remote. To date, the VIEs have settled to our WFOE the amount owed under the VIE agreements of RMB15.25 million (approximately US$2.27 million) in the aggregate.</w:t>
      </w:r>
    </w:p>
    <w:p>
      <w:pPr>
        <w:spacing w:after="0" w:line="192" w:lineRule="exact"/>
        <w:rPr>
          <w:sz w:val="20"/>
          <w:szCs w:val="20"/>
          <w:color w:val="auto"/>
        </w:rPr>
      </w:pPr>
    </w:p>
    <w:p>
      <w:pPr>
        <w:jc w:val="both"/>
        <w:ind w:left="20" w:firstLine="648"/>
        <w:spacing w:after="0" w:line="252" w:lineRule="auto"/>
        <w:rPr>
          <w:sz w:val="20"/>
          <w:szCs w:val="20"/>
          <w:color w:val="auto"/>
        </w:rPr>
      </w:pPr>
      <w:r>
        <w:rPr>
          <w:rFonts w:ascii="Times New Roman" w:cs="Times New Roman" w:eastAsia="Times New Roman" w:hAnsi="Times New Roman"/>
          <w:sz w:val="18"/>
          <w:szCs w:val="18"/>
          <w:color w:val="auto"/>
        </w:rPr>
        <w:t>Our PRC subsidiaries generate all of their revenue in Renminbi, Renminbi is not freely convertible into other currencies. As a result, any restriction on currency exchange may limit the ability of our PRC subsidiaries to pay dividends/make distributions to us. The Chinese government imposes controls on the convertibility of Renminbi into foreign currencies and, in certain cases, the remittance of currency out of China. Shortages in availability of foreign currency may then restrict the ability of our PRC subsidiaries to remit sufficient foreign currency to us for us to pay dividends to the U.S. investors. Renminbi is currently convertible under the “current account,” which includes dividends, trade and service-related foreign exchange transactions, but not under the “capital account,” which includes foreign direct investment and foreign debt. Currently, our PRC subsidiaries may purchase foreign currency for settlement of current account transactions, including payment of dividends to us, without the approval of the State Administration of Foreign Exchange of China (the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the SAFE for cross-border transactions falling under both the current account and the capital account. Any existing and future restrictions on currency exchange may limit our ability to utilize revenue generated in Renminbi to pay dividends in foreign currencies to holders of our securities. Foreign exchange transactions under the capital account remain subject to limitations and require approvals from, or registration with, the SAFE and other relevant Chinese governmental authorities. This could affect our ability to obtain foreign currency through debt or equity financing for our PRC subsidiaries.</w:t>
      </w:r>
    </w:p>
    <w:p>
      <w:pPr>
        <w:spacing w:after="0" w:line="197"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To date, none of our subsidiaries has made any distribution of earnings or issued any dividends to their respective shareholder in or outside of China, or to the Nevada holding company, and the Nevada holding company has never declared or paid any cash dividends to U.S. investors.</w:t>
      </w:r>
    </w:p>
    <w:p>
      <w:pPr>
        <w:spacing w:after="0" w:line="162"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We do not have any present plan to make any distribution of earnings/issue any dividends directly or indirectly to our Nevada holding company or pay any cash dividends on our common stock in the foreseeable future because we currently intend to retain most, if not all, of our available funds and any future earnings to operate and expand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Analysis for the Three Months Ended March 31, 2026 and 2025</w:t>
      </w:r>
    </w:p>
    <w:p>
      <w:pPr>
        <w:spacing w:after="0" w:line="229"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represent cash on hand and deposits held at call with banks. We consider all highly liquid investments with original maturities of three months or less at the time of purchase to be cash equivalents. As of March 31, 2026, we had cash and cash equivalents of approximately US$0.72 million.</w:t>
      </w:r>
    </w:p>
    <w:p>
      <w:pPr>
        <w:spacing w:after="0" w:line="176" w:lineRule="exact"/>
        <w:rPr>
          <w:sz w:val="20"/>
          <w:szCs w:val="20"/>
          <w:color w:val="auto"/>
        </w:rPr>
      </w:pPr>
    </w:p>
    <w:p>
      <w:pPr>
        <w:jc w:val="both"/>
        <w:ind w:left="20" w:firstLine="648"/>
        <w:spacing w:after="0" w:line="255" w:lineRule="auto"/>
        <w:rPr>
          <w:sz w:val="20"/>
          <w:szCs w:val="20"/>
          <w:color w:val="auto"/>
        </w:rPr>
      </w:pPr>
      <w:r>
        <w:rPr>
          <w:rFonts w:ascii="Times New Roman" w:cs="Times New Roman" w:eastAsia="Times New Roman" w:hAnsi="Times New Roman"/>
          <w:sz w:val="18"/>
          <w:szCs w:val="18"/>
          <w:color w:val="auto"/>
        </w:rPr>
        <w:t>Our liquidity needs include (i) net cash used in operating activities that consists of (a) cash required to fund the initial build-out, continued expansion of our network and new services and (b) our working capital needs, which include deposits and advance payments to search engine resources and other advertising resources providers, payment of our operating expenses and financing of our accounts receivable; and (ii) net cash used in investing activities that consist of the investment to expand technologies related to our existing and future business activities, investment to enhance the functionality of our current advertising portals for providing advertising, marketing and data services and to secure the safety of our general network, and investment to establish joint ventures with strategic partners for the development of new technologies and services. To date, we have financed our liquidity need primarily through proceeds we generated from financing activities.</w:t>
      </w:r>
    </w:p>
    <w:p>
      <w:pPr>
        <w:spacing w:after="0" w:line="18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580" w:top="580"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The following table provides detailed information about our net cash flow for the periods indicated:</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p>
        </w:tc>
        <w:tc>
          <w:tcPr>
            <w:tcW w:w="318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7820" w:type="dxa"/>
            <w:vAlign w:val="bottom"/>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7820" w:type="dxa"/>
            <w:vAlign w:val="bottom"/>
          </w:tcPr>
          <w:p>
            <w:pPr>
              <w:spacing w:after="0"/>
              <w:rPr>
                <w:sz w:val="18"/>
                <w:szCs w:val="18"/>
                <w:color w:val="auto"/>
              </w:rPr>
            </w:pPr>
          </w:p>
        </w:tc>
        <w:tc>
          <w:tcPr>
            <w:tcW w:w="318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Amounts in thousands of US dollars</w:t>
            </w:r>
          </w:p>
        </w:tc>
      </w:tr>
      <w:tr>
        <w:trPr>
          <w:trHeight w:val="210"/>
        </w:trPr>
        <w:tc>
          <w:tcPr>
            <w:tcW w:w="7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00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ind w:left="20" w:right="10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our net cash used in operating activities of approximately US$0.29 million were primarily attributable to:</w:t>
      </w:r>
    </w:p>
    <w:p>
      <w:pPr>
        <w:spacing w:after="0" w:line="162" w:lineRule="exact"/>
        <w:rPr>
          <w:sz w:val="20"/>
          <w:szCs w:val="20"/>
          <w:color w:val="auto"/>
        </w:rPr>
      </w:pPr>
    </w:p>
    <w:p>
      <w:pPr>
        <w:ind w:left="720" w:right="120" w:hanging="324"/>
        <w:spacing w:after="0" w:line="261" w:lineRule="auto"/>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excluding approximately US$0.07 million of non-cash expenses of depreciation and amortizations; approximately US$0.01 million of amortization of operating lease right-of-use assets; approximately US$0.19 million of reversal of allowance for credit losses; approximately US$0.05 million of other non-operating income; and approximately US$0.009 million of deferred taxes, and yielded the non-cash and non-operating items excluded net loss of approximately US$0.04 million.</w:t>
      </w:r>
    </w:p>
    <w:p>
      <w:pPr>
        <w:spacing w:after="0" w:line="179" w:lineRule="exact"/>
        <w:rPr>
          <w:rFonts w:ascii="Times New Roman" w:cs="Times New Roman" w:eastAsia="Times New Roman" w:hAnsi="Times New Roman"/>
          <w:sz w:val="18"/>
          <w:szCs w:val="18"/>
          <w:color w:val="auto"/>
        </w:rPr>
      </w:pPr>
    </w:p>
    <w:p>
      <w:pPr>
        <w:ind w:left="720" w:hanging="324"/>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cash from operations from changes in operating assets and liabilities such as:</w:t>
      </w:r>
    </w:p>
    <w:p>
      <w:pPr>
        <w:spacing w:after="0" w:line="225" w:lineRule="exact"/>
        <w:rPr>
          <w:sz w:val="20"/>
          <w:szCs w:val="20"/>
          <w:color w:val="auto"/>
        </w:rPr>
      </w:pPr>
    </w:p>
    <w:p>
      <w:pPr>
        <w:ind w:left="840" w:hanging="323"/>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receivables decreased by approximately US$0.54 million;</w:t>
      </w:r>
    </w:p>
    <w:p>
      <w:pPr>
        <w:spacing w:after="0" w:line="225" w:lineRule="exact"/>
        <w:rPr>
          <w:rFonts w:ascii="Times New Roman" w:cs="Times New Roman" w:eastAsia="Times New Roman" w:hAnsi="Times New Roman"/>
          <w:sz w:val="18"/>
          <w:szCs w:val="18"/>
          <w:color w:val="auto"/>
        </w:rPr>
      </w:pPr>
    </w:p>
    <w:p>
      <w:pPr>
        <w:ind w:left="840" w:hanging="323"/>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by approximately US$0.13 million; and</w:t>
      </w:r>
    </w:p>
    <w:p>
      <w:pPr>
        <w:spacing w:after="0" w:line="225" w:lineRule="exact"/>
        <w:rPr>
          <w:rFonts w:ascii="Times New Roman" w:cs="Times New Roman" w:eastAsia="Times New Roman" w:hAnsi="Times New Roman"/>
          <w:sz w:val="18"/>
          <w:szCs w:val="18"/>
          <w:color w:val="auto"/>
        </w:rPr>
      </w:pPr>
    </w:p>
    <w:p>
      <w:pPr>
        <w:ind w:left="840" w:hanging="323"/>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payable increased by approximately US$0.006 million.</w:t>
      </w:r>
    </w:p>
    <w:p>
      <w:pPr>
        <w:spacing w:after="0" w:line="225" w:lineRule="exact"/>
        <w:rPr>
          <w:sz w:val="20"/>
          <w:szCs w:val="20"/>
          <w:color w:val="auto"/>
        </w:rPr>
      </w:pPr>
    </w:p>
    <w:p>
      <w:pPr>
        <w:ind w:left="520" w:right="3960" w:hanging="124"/>
        <w:spacing w:after="0" w:line="500" w:lineRule="auto"/>
        <w:tabs>
          <w:tab w:leader="none" w:pos="7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 by the use from operations from changes in operating assets and liabilities such as: - prepayment and deposit to suppliers increased by approximately US$0.46 million;</w:t>
      </w:r>
    </w:p>
    <w:p>
      <w:pPr>
        <w:spacing w:after="0" w:line="1"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advances from customers decreased by approximately US$0.06 million;</w:t>
      </w:r>
    </w:p>
    <w:p>
      <w:pPr>
        <w:spacing w:after="0" w:line="225" w:lineRule="exact"/>
        <w:rPr>
          <w:rFonts w:ascii="Times New Roman" w:cs="Times New Roman" w:eastAsia="Times New Roman" w:hAnsi="Times New Roman"/>
          <w:sz w:val="18"/>
          <w:szCs w:val="18"/>
          <w:color w:val="auto"/>
        </w:rPr>
      </w:pPr>
    </w:p>
    <w:p>
      <w:pPr>
        <w:ind w:left="520" w:right="442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accrued payroll and other accruals decreased by approximately US$0.33 million; - other current liabilities decreased by approximately US$0.07 million; and</w:t>
      </w:r>
    </w:p>
    <w:p>
      <w:pPr>
        <w:spacing w:after="0" w:line="2" w:lineRule="exact"/>
        <w:rPr>
          <w:sz w:val="20"/>
          <w:szCs w:val="20"/>
          <w:color w:val="auto"/>
        </w:rPr>
      </w:pPr>
    </w:p>
    <w:p>
      <w:pPr>
        <w:ind w:left="840" w:right="580" w:hanging="323"/>
        <w:spacing w:after="0" w:line="282" w:lineRule="auto"/>
        <w:tabs>
          <w:tab w:leader="none" w:pos="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decreased by approximately US$0.01 million in the aggregate, primarily due to settlement of these liabilities during the period.</w:t>
      </w:r>
    </w:p>
    <w:p>
      <w:pPr>
        <w:spacing w:after="0" w:line="162" w:lineRule="exact"/>
        <w:rPr>
          <w:sz w:val="20"/>
          <w:szCs w:val="20"/>
          <w:color w:val="auto"/>
        </w:rPr>
      </w:pPr>
    </w:p>
    <w:p>
      <w:pPr>
        <w:ind w:left="20" w:right="10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our net cash used in operating activities of approximately US$0.98 million were primarily attributable to:</w:t>
      </w:r>
    </w:p>
    <w:p>
      <w:pPr>
        <w:spacing w:after="0" w:line="162" w:lineRule="exact"/>
        <w:rPr>
          <w:sz w:val="20"/>
          <w:szCs w:val="20"/>
          <w:color w:val="auto"/>
        </w:rPr>
      </w:pPr>
    </w:p>
    <w:p>
      <w:pPr>
        <w:ind w:left="720" w:right="120" w:hanging="324"/>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excluding approximately US$0.02 million of non-cash expenses of depreciation and amortizations; approximately US$0.01 million of amortization of operating lease right-of-use assets; approximately US$0.14 million of share-based compensation expense; approximately US$0.39 million of provision for allowance for credit losses; and approximately US$0.05 million of other non-operating income, yielded the non-cash and non-operating items excluded net loss of approximately US$0.02 million.</w:t>
      </w:r>
    </w:p>
    <w:p>
      <w:pPr>
        <w:spacing w:after="0" w:line="179" w:lineRule="exact"/>
        <w:rPr>
          <w:rFonts w:ascii="Times New Roman" w:cs="Times New Roman" w:eastAsia="Times New Roman" w:hAnsi="Times New Roman"/>
          <w:sz w:val="18"/>
          <w:szCs w:val="18"/>
          <w:color w:val="auto"/>
        </w:rPr>
      </w:pPr>
    </w:p>
    <w:p>
      <w:pPr>
        <w:ind w:left="720" w:hanging="324"/>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cash from operations from changes in operating assets and liabilities such as:</w:t>
      </w:r>
    </w:p>
    <w:p>
      <w:pPr>
        <w:spacing w:after="0" w:line="225" w:lineRule="exact"/>
        <w:rPr>
          <w:sz w:val="20"/>
          <w:szCs w:val="20"/>
          <w:color w:val="auto"/>
        </w:rPr>
      </w:pPr>
    </w:p>
    <w:p>
      <w:pPr>
        <w:ind w:left="840" w:hanging="323"/>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payables increased by approximately US$0.003 million;</w:t>
      </w:r>
    </w:p>
    <w:p>
      <w:pPr>
        <w:spacing w:after="0" w:line="225" w:lineRule="exact"/>
        <w:rPr>
          <w:rFonts w:ascii="Times New Roman" w:cs="Times New Roman" w:eastAsia="Times New Roman" w:hAnsi="Times New Roman"/>
          <w:sz w:val="18"/>
          <w:szCs w:val="18"/>
          <w:color w:val="auto"/>
        </w:rPr>
      </w:pPr>
    </w:p>
    <w:p>
      <w:pPr>
        <w:ind w:left="840" w:hanging="323"/>
        <w:spacing w:after="0"/>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assets decreased by approximately US$0.001 million;</w:t>
      </w:r>
    </w:p>
    <w:p>
      <w:pPr>
        <w:spacing w:after="0" w:line="225" w:lineRule="exact"/>
        <w:rPr>
          <w:rFonts w:ascii="Times New Roman" w:cs="Times New Roman" w:eastAsia="Times New Roman" w:hAnsi="Times New Roman"/>
          <w:sz w:val="18"/>
          <w:szCs w:val="18"/>
          <w:color w:val="auto"/>
        </w:rPr>
      </w:pPr>
    </w:p>
    <w:p>
      <w:pPr>
        <w:ind w:left="5280" w:right="5540" w:hanging="4763"/>
        <w:spacing w:after="0" w:line="409" w:lineRule="auto"/>
        <w:tabs>
          <w:tab w:leader="none" w:pos="84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taxes payable increased by approximately US$0.003 million; and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280035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580" w:top="580" w:right="239" w:bottom="1440" w:gutter="0" w:footer="0" w:header="0"/>
        </w:sectPr>
      </w:pPr>
    </w:p>
    <w:bookmarkStart w:id="36" w:name="page37"/>
    <w:bookmarkEnd w:id="36"/>
    <w:p>
      <w:pPr>
        <w:ind w:left="840" w:hanging="323"/>
        <w:spacing w:after="0"/>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liabilities increased by approximately US$0.006 million.</w:t>
      </w:r>
    </w:p>
    <w:p>
      <w:pPr>
        <w:spacing w:after="0" w:line="225" w:lineRule="exact"/>
        <w:rPr>
          <w:sz w:val="20"/>
          <w:szCs w:val="20"/>
          <w:color w:val="auto"/>
        </w:rPr>
      </w:pPr>
    </w:p>
    <w:p>
      <w:pPr>
        <w:ind w:left="520" w:right="3860" w:hanging="124"/>
        <w:spacing w:after="0" w:line="500" w:lineRule="auto"/>
        <w:tabs>
          <w:tab w:leader="none" w:pos="72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 by the use from operations from changes in operating assets and liabilities such as: - accounts receivable increased by approximately US$0.52 million;</w:t>
      </w:r>
    </w:p>
    <w:p>
      <w:pPr>
        <w:spacing w:after="0" w:line="1" w:lineRule="exact"/>
        <w:rPr>
          <w:rFonts w:ascii="Times New Roman" w:cs="Times New Roman" w:eastAsia="Times New Roman" w:hAnsi="Times New Roman"/>
          <w:sz w:val="18"/>
          <w:szCs w:val="18"/>
          <w:color w:val="auto"/>
        </w:rPr>
      </w:pPr>
    </w:p>
    <w:p>
      <w:pPr>
        <w:ind w:left="520" w:right="422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prepayment and deposit to suppliers increased by approximately US$0.14 million; - advances from customers decreased by approximately US$0.04 million;</w:t>
      </w:r>
    </w:p>
    <w:p>
      <w:pPr>
        <w:spacing w:after="0" w:line="1"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accrued payroll and other accruals decreased by approximately US$0.28 million;</w:t>
      </w:r>
    </w:p>
    <w:p>
      <w:pPr>
        <w:spacing w:after="0" w:line="225" w:lineRule="exact"/>
        <w:rPr>
          <w:sz w:val="20"/>
          <w:szCs w:val="20"/>
          <w:color w:val="auto"/>
        </w:rPr>
      </w:pPr>
    </w:p>
    <w:p>
      <w:pPr>
        <w:ind w:left="840" w:right="480" w:hanging="323"/>
        <w:spacing w:after="0" w:line="282" w:lineRule="auto"/>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decreased by approximately US$0.01 million in the aggregate, primarily due to settlement of these liabilities during the period; and</w:t>
      </w:r>
    </w:p>
    <w:p>
      <w:pPr>
        <w:spacing w:after="0" w:line="161" w:lineRule="exact"/>
        <w:rPr>
          <w:rFonts w:ascii="Times New Roman" w:cs="Times New Roman" w:eastAsia="Times New Roman" w:hAnsi="Times New Roman"/>
          <w:sz w:val="18"/>
          <w:szCs w:val="18"/>
          <w:color w:val="auto"/>
        </w:rPr>
      </w:pPr>
    </w:p>
    <w:p>
      <w:pPr>
        <w:ind w:left="840" w:hanging="323"/>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liabilities decreased by approximately US$0.002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investing activities</w:t>
      </w:r>
    </w:p>
    <w:p>
      <w:pPr>
        <w:spacing w:after="0" w:line="229"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we received repayment of short-term loans and interest income of approximately US$0.05 million which resulted in a net cash inflow from investing activities of approximately US$0.5 million for the three months ended March 31, 2026.</w:t>
      </w:r>
    </w:p>
    <w:p>
      <w:pPr>
        <w:spacing w:after="0" w:line="162" w:lineRule="exact"/>
        <w:rPr>
          <w:sz w:val="20"/>
          <w:szCs w:val="20"/>
          <w:color w:val="auto"/>
        </w:rPr>
      </w:pPr>
    </w:p>
    <w:p>
      <w:pPr>
        <w:jc w:val="both"/>
        <w:ind w:left="2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(1) we purchased office equipment and leasehold improvement of approximately US$0.04 million; (2) we purchased intellectual property of approximately US$0.60 million through the acquisition of Rahula; and (3) we received repayment of short-term loans and interest income of approximately US$1.12 million. In the aggregate, these transactions resulted in a net cash inflow from investing activities of approximately US$0.48 million for the three months ended March 31, 2025.</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2026, no cash was provided by or used in financing activities.</w:t>
      </w:r>
    </w:p>
    <w:p>
      <w:pPr>
        <w:spacing w:after="0" w:line="225"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our cash provided by financing activities included the following transactions: (1) we received advances from investors of approximately US$0.50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Future Liquidity, Material Cash Requirements and Capital Resources</w:t>
      </w:r>
    </w:p>
    <w:p>
      <w:pPr>
        <w:spacing w:after="0" w:line="229"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Our future short-term liquidity needs within 12 months from the date hereof primarily include deposits and advance payments required for the purchase of search engine marketing resources and other online marketing resources to be distributed to our customers and payments for our operating expenses, which mainly consist of office rentals and employee salary and benefit.</w:t>
      </w:r>
    </w:p>
    <w:p>
      <w:pPr>
        <w:spacing w:after="0" w:line="176" w:lineRule="exact"/>
        <w:rPr>
          <w:sz w:val="20"/>
          <w:szCs w:val="20"/>
          <w:color w:val="auto"/>
        </w:rPr>
      </w:pPr>
    </w:p>
    <w:p>
      <w:pPr>
        <w:jc w:val="both"/>
        <w:ind w:left="20" w:firstLine="648"/>
        <w:spacing w:after="0" w:line="252" w:lineRule="auto"/>
        <w:rPr>
          <w:sz w:val="20"/>
          <w:szCs w:val="20"/>
          <w:color w:val="auto"/>
        </w:rPr>
      </w:pPr>
      <w:r>
        <w:rPr>
          <w:rFonts w:ascii="Times New Roman" w:cs="Times New Roman" w:eastAsia="Times New Roman" w:hAnsi="Times New Roman"/>
          <w:sz w:val="18"/>
          <w:szCs w:val="18"/>
          <w:color w:val="auto"/>
        </w:rPr>
        <w:t>Our current core business is to provide advertising and marketing services to small and medium enterprises (“SMEs”), which is particularly sensitive to changes in general economic conditions. In addition, in order to further develop our core business, i.e., our Internet advertising and marketing service business, broaden and diversify the online marketing channels for customers, reinforce our industry competitive advantage, we are actively seeking to acquire or invest in businesses and build teams with AI capabilities and proprietary intellectual properties that enable more accurate marketing solutions and cost efficient content creation. We may also pursue acquisitions or investments in businesses that expand our blockchain-based SaaS services, including technologies and platforms related to the tokenization of real-world assets. On March 7, 2025, ChinaNet Investment Holding Limited (the “Purchaser”), a British Virgin Islands company and an indirect wholly-owned subsidiary of ZW Data Action Technologies Inc. (the “Registrant”) acquired the 10,000 shares of Rahula Digital Media (HK) Limited, a Hong Kong company (the "Rahula") that Vickie Chan, an individual (the “Seller”) owned, pursuant to that certain Share Sale and Purchase Agreement, dated March 3, 2025, entered into by and between the Purchaser and the Seller for a total consideration of US$0.6 million. Rahula owns 100% equity interest in Shenzhen Shangye Business Consulting Services Co., Ltd., a People’s Republic of China company (together as “Rahula Group”). Rahula Group is principally engaged in the development and monetization of intellectual property rights on agent management, marketing data management, targeted marketing and mass marketing systems and technologies. The acquisition of Rahula and its intellectual property has enabled us to establish our IP services business segment. We generate revenue by licensing the intellectual property acquired through Rahula to our customers. In the short term, we expect that cash flows generated from this business segment to help improve our liquidity, as it does not require significant ongoing capital investment or material cash outflows. On November 24, 2025, we changed the corporate name of Rahula to Cnet Technology (HK) Limited.</w:t>
      </w:r>
    </w:p>
    <w:p>
      <w:pPr>
        <w:spacing w:after="0" w:line="19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580" w:top="580" w:right="339" w:bottom="1440" w:gutter="0" w:footer="0" w:header="0"/>
        </w:sectPr>
      </w:pPr>
    </w:p>
    <w:bookmarkStart w:id="37" w:name="page38"/>
    <w:bookmarkEnd w:id="3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17, 2025, CNET Technology Limited (“CNET Technology”), a wholly-owned subsidiary of ZW Data Action Technologies Inc. (the “Company”) in the British Virgin Islands, entered into a purchase agreement (the “Acquisition Agreement 1”) with B Ocean Capital Management Limited, a Cayman Islands company, and Oasis Management Consultant Limited, a Hong Kong company (collectively with B Ocean Capital Management Limited, the “Sellers”) and Titans Investment Asset Holdings Limited, a British Virgin Islands company (“Titans”), pursuant to which each Seller will sell its 9.80% equity interests in Titans (the “Titans Equity Interests”) to CNET Technology. In consideration for the Titans Equity Interests, CNET Technology shall pay to the Sellers totaling $300,000 in cash and cause the Company to issue 200,000 shares of common stock of the Company, having a total value of $420,000 and valued at $2.10 per share, to the Sellers. CNET Technology acquired the Titans Equity Interests on October 21, 2025. As of the date of this report, the Company has not yet issued the 200,000 shares of common stock to the Sellers. Titans is principally engaged in providing digital marketing and advertising services.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28, 2025, CNET Technology entered into a purchase agreement (the “Acquisition Agreement”) with Fun Star Group INC., a British Virgin Islands company (the “Seller”) and Modest Attack Limited, a British Virgin Islands company (“Modest”), pursuant to which the Seller will sell its 9.9% equity interests in Modest (the “ Modest Equity Interests”) to CNET Technology. In consideration for the Modest Equity Interests, CNET Technology shall pay to the Seller $625,000 in cash and cause the Company to issue 150,000 shares of common stock of the Company, having a total value of $375,000 and valued at $2.50 per share, to the Seller. As of the date of this report, this transaction has not yet closed. Modest is principally engaged in providing consulting and technology development services related to the tokenization of real-world assets, including token economics design, blockchain platform development, ecosystem infrastructure support, and digital asset monitoring and management.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for the next 12 months from the date hereof, we anticipate to generate additional cash inflows and/or improve our liquidity through the following: (1) our short-term working capital loans provided to unrelated parties will mature within the next 12 months that we anticipate collecting these loan principals and the related interest income within the next 12 months; (2) equity financing; (3) we plan to reduce our operating costs through optimizing the personnel structure among different offices and reduce our office leasing spaces, if needed. This may incur incremental costs related to employee layoff compensation and contract termination penalty.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Company fails to achieve these goals, the Company may need additional financing to execute its business plan. If additional financing is required, the Company cannot predict whether this additional financing will be in the form of equity, debt, or another form, and the Company may not be able to obtain the necessary additional capital on a timely basis, on acceptable terms, or at all. In the event that financing sources are not available, or that the Company is unsuccessful in increasing its gross profit margin and reducing operating losses, the Company may be unable to implement its current plans for expansion, repay debt obligations or respond to competitive pressures, any of which would have a material adverse effect on the Company’s business, prospects, financial condition and results of operations. These factors raise substantial doubt about the Company's ability to continue as a going concern within one year after the date that the financial statements are issued.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as of March 31, 2026 have been prepared under the assumption that the Company will continue as a going concern, which contemplates, among other things, the realization of assets and the satisfaction of liabilities in the normal course of business over a reasonable period of time. The Company's ability to continue as a going concern is dependent upon its uncertain ability to increase gross profit margin and reduce operating loss from its core business and/or obtain additional equity and/or debt financing. The accompanying financial statements as of March 31, 2026 do not include any adjustments that might result from the outcome of these uncertainties. If the Company is unable to continue as a going concern, it may have to liquidate its assets and may receive less than the value at which those assets are carried on the financial statements.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long term, beyond the next 12 months, we plan to further broaden the application scenarios of our blockchain-based SaaS services to be offered to the customers, continue expanding our core Internet advertising and marketing business through acquisitions, and develop Internet advertising and marketing channels that target Internet users outside of mainland China. In addition, the Company will expand its capabilities to include AI-enabled applications and deployment solutions, with a focus on enhancing existing service offerings. These initiatives include the development and integration of AI-assisted tools to support customer engagement, financial management, and operational workflows, as well as the incorporation of blockchain-based functionalities for data security, tokenization, and payment processing where applicable. As such, we may decide to enhance our liquidity position or increase our cash reserve for future investments through additional equity financing in the U.S. capital market. This would result in further dilution to our shareholders. We cannot assure you that such financing will be available in amounts or on terms acceptable to us, or at all.</w:t>
      </w:r>
    </w:p>
    <w:p>
      <w:pPr>
        <w:spacing w:after="0" w:line="19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600" w:top="580" w:right="339" w:bottom="1440" w:gutter="0" w:footer="0" w:header="0"/>
        </w:sectPr>
      </w:pPr>
    </w:p>
    <w:bookmarkStart w:id="38" w:name="page39"/>
    <w:bookmarkEnd w:id="38"/>
    <w:p>
      <w:pPr>
        <w:ind w:left="660" w:right="7840" w:hanging="642"/>
        <w:spacing w:after="0" w:line="500" w:lineRule="auto"/>
        <w:tabs>
          <w:tab w:leader="none" w:pos="59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Off-Balance Sheet Arrangements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600" w:hanging="582"/>
        <w:spacing w:after="0"/>
        <w:tabs>
          <w:tab w:leader="none" w:pos="6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Contractual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2022, we obtained a 9.9% equity interest in Hunan Yong Fu Xiang Health Management Co., Ltd (“Yong Fu Xiang”), through subscription of a RMB6.73 million (approximately US$0.98 million) registered capital of the entity in cash, which amount was committed to be paid up before December 31, 2065.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2023, we obtained a 9.9% equity interest in Wuhan Ju Liang, through subscription of a RMB0.99 million (approximately US$0.14 million) registered capital of the entity in cash, which amount was committed to be paid up before August 1, 2052.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accounting and financial officer, we conducted an evaluation of the effectiveness of our disclosure controls and procedures as of the fiscal quarter ended March 31, 2026, as such term is defined in Rules 13a-15(e) and 15d-15(e) under the Exchange Act. Based on this evaluation, our principal executive officer and principal financial officer have concluded that during the period covered by this report, the Company’s disclosure controls and procedures were effective as of such date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fiscal quarter of 2026 covered by this Quarterly Report on Form 10-Q that has materially affected, or is reasonably likely to materially affect, our internal control over financial reporting.</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We are currently not a party to any legal or administrative proceedings and are not aware of any pending or threatened legal or administrative proceedings against us in all material aspects. We may from time to time become a party to various legal or administrative proceedings arising in the ordinary course of our business.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information has been omitted based on the Company’s status as a smaller reporting company.</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5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20" w:right="40" w:firstLine="648"/>
        <w:spacing w:after="0" w:line="282" w:lineRule="auto"/>
        <w:rPr>
          <w:sz w:val="20"/>
          <w:szCs w:val="20"/>
          <w:color w:val="auto"/>
        </w:rPr>
      </w:pPr>
      <w:r>
        <w:rPr>
          <w:rFonts w:ascii="Times New Roman" w:cs="Times New Roman" w:eastAsia="Times New Roman" w:hAnsi="Times New Roman"/>
          <w:sz w:val="18"/>
          <w:szCs w:val="18"/>
          <w:color w:val="auto"/>
        </w:rPr>
        <w:t>During our fiscal quarter ended March 31, 2026, none of our directors or officers informed us of the adoption or termination of a “Rule 10b5-1 trading arrangement” or “non-Rule 10b5-1 trading arrangement” as those terms are defined in Item 408(a) of Regulation S-K.</w:t>
      </w:r>
    </w:p>
    <w:p>
      <w:pPr>
        <w:spacing w:after="0" w:line="200" w:lineRule="exact"/>
        <w:rPr>
          <w:sz w:val="20"/>
          <w:szCs w:val="20"/>
          <w:color w:val="auto"/>
        </w:rPr>
      </w:pPr>
    </w:p>
    <w:p>
      <w:pPr>
        <w:spacing w:after="0" w:line="20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580" w:top="576" w:right="339" w:bottom="1440" w:gutter="0" w:footer="0" w:header="0"/>
        </w:sectPr>
      </w:pPr>
    </w:p>
    <w:bookmarkStart w:id="39" w:name="page40"/>
    <w:bookmarkEnd w:id="39"/>
    <w:p>
      <w:pPr>
        <w:ind w:left="28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4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rPr>
              <w:t>The exhibits listed on the Exhibit Index below are provided as part of this report.</w:t>
            </w:r>
          </w:p>
        </w:tc>
      </w:tr>
      <w:tr>
        <w:trPr>
          <w:trHeight w:val="410"/>
        </w:trPr>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8"/>
        </w:trPr>
        <w:tc>
          <w:tcPr>
            <w:tcW w:w="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Document Description</w:t>
            </w:r>
          </w:p>
        </w:tc>
      </w:tr>
      <w:tr>
        <w:trPr>
          <w:trHeight w:val="385"/>
        </w:trPr>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4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Rule 13A-14(A)/15D-14(A) of the Securities Exchange Act of 1934, as adopted</w:t>
            </w:r>
          </w:p>
        </w:tc>
      </w:tr>
      <w:tr>
        <w:trPr>
          <w:trHeight w:val="196"/>
        </w:trPr>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5720" w:type="dxa"/>
            <w:vAlign w:val="bottom"/>
            <w:tcBorders>
              <w:top w:val="single" w:sz="8" w:color="0000EE"/>
            </w:tcBorders>
            <w:gridSpan w:val="2"/>
          </w:tcPr>
          <w:p>
            <w:pPr>
              <w:spacing w:after="0"/>
              <w:rPr>
                <w:sz w:val="17"/>
                <w:szCs w:val="17"/>
                <w:color w:val="auto"/>
              </w:rPr>
            </w:pPr>
          </w:p>
        </w:tc>
        <w:tc>
          <w:tcPr>
            <w:tcW w:w="400" w:type="dxa"/>
            <w:vAlign w:val="bottom"/>
            <w:gridSpan w:val="3"/>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220" w:type="dxa"/>
            <w:vAlign w:val="bottom"/>
          </w:tcPr>
          <w:p>
            <w:pPr>
              <w:spacing w:after="0"/>
              <w:rPr>
                <w:sz w:val="24"/>
                <w:szCs w:val="24"/>
                <w:color w:val="auto"/>
              </w:rPr>
            </w:pPr>
          </w:p>
        </w:tc>
        <w:tc>
          <w:tcPr>
            <w:tcW w:w="104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the Principal Accounting and Financial Officer pursuant to Rule 13A-14(A)/15D-14(A) of the Securities Exchange Act of 1934,</w:t>
            </w:r>
          </w:p>
        </w:tc>
      </w:tr>
      <w:tr>
        <w:trPr>
          <w:trHeight w:val="196"/>
        </w:trPr>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c>
          <w:tcPr>
            <w:tcW w:w="60" w:type="dxa"/>
            <w:vAlign w:val="bottom"/>
          </w:tcPr>
          <w:p>
            <w:pPr>
              <w:spacing w:after="0"/>
              <w:rPr>
                <w:sz w:val="17"/>
                <w:szCs w:val="17"/>
                <w:color w:val="auto"/>
              </w:rPr>
            </w:pPr>
          </w:p>
        </w:tc>
      </w:tr>
      <w:tr>
        <w:trPr>
          <w:trHeight w:val="20"/>
        </w:trPr>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104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and of the Principal Accounting and Financial Officer pursuant to 18 U.S.C. 1350 (Section 906</w:t>
            </w:r>
          </w:p>
        </w:tc>
      </w:tr>
      <w:tr>
        <w:trPr>
          <w:trHeight w:val="196"/>
        </w:trPr>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8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160" w:type="dxa"/>
            <w:vAlign w:val="bottom"/>
            <w:gridSpan w:val="2"/>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left="800" w:right="80" w:hanging="774"/>
        <w:spacing w:after="0" w:line="266"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are filed herewith: (i) Inline XBRL Instance, (ii) Inline XBRL Taxonomy Extension Schema, (iii) Inline XBRL Taxonomy Extension Calculation, (iv) XBRL Taxonomy Extension Labels, (v) XBRL Taxonomy Extension Presentation, and (vi) Inline XBRL Taxonomy Extension Definition.</w:t>
      </w:r>
    </w:p>
    <w:p>
      <w:pPr>
        <w:spacing w:after="0" w:line="176" w:lineRule="exact"/>
        <w:rPr>
          <w:sz w:val="20"/>
          <w:szCs w:val="20"/>
          <w:color w:val="auto"/>
        </w:rPr>
      </w:pPr>
    </w:p>
    <w:p>
      <w:pPr>
        <w:ind w:left="800" w:right="260" w:hanging="774"/>
        <w:spacing w:after="0" w:line="282" w:lineRule="auto"/>
        <w:tabs>
          <w:tab w:leader="none" w:pos="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280" w:right="6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ZW DATA ACTION TECHNOLOGIES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Handong Cheng</w:t>
            </w:r>
          </w:p>
        </w:tc>
      </w:tr>
      <w:tr>
        <w:trPr>
          <w:trHeight w:val="20"/>
        </w:trPr>
        <w:tc>
          <w:tcPr>
            <w:tcW w:w="3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91"/>
        </w:trPr>
        <w:tc>
          <w:tcPr>
            <w:tcW w:w="3540" w:type="dxa"/>
            <w:vAlign w:val="bottom"/>
          </w:tcPr>
          <w:p>
            <w:pPr>
              <w:spacing w:after="0"/>
              <w:rPr>
                <w:sz w:val="16"/>
                <w:szCs w:val="16"/>
                <w:color w:val="auto"/>
              </w:rPr>
            </w:pPr>
          </w:p>
        </w:tc>
        <w:tc>
          <w:tcPr>
            <w:tcW w:w="7700" w:type="dxa"/>
            <w:vAlign w:val="bottom"/>
            <w:gridSpan w:val="2"/>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 Handong Cheng</w:t>
            </w:r>
          </w:p>
        </w:tc>
      </w:tr>
      <w:tr>
        <w:trPr>
          <w:trHeight w:val="216"/>
        </w:trPr>
        <w:tc>
          <w:tcPr>
            <w:tcW w:w="3540" w:type="dxa"/>
            <w:vAlign w:val="bottom"/>
          </w:tcPr>
          <w:p>
            <w:pPr>
              <w:spacing w:after="0"/>
              <w:rPr>
                <w:sz w:val="18"/>
                <w:szCs w:val="18"/>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Title: Chief Executive Officer and Acting Chief Financial Officer</w:t>
            </w:r>
          </w:p>
        </w:tc>
      </w:t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(Principal Executive Officer and Principal Accounting and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60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I, Handong Cheng, certify that:</w:t>
      </w:r>
    </w:p>
    <w:p>
      <w:pPr>
        <w:spacing w:after="0" w:line="225" w:lineRule="exact"/>
        <w:rPr>
          <w:sz w:val="20"/>
          <w:szCs w:val="20"/>
          <w:color w:val="auto"/>
        </w:rPr>
      </w:pPr>
    </w:p>
    <w:p>
      <w:pPr>
        <w:ind w:left="630" w:hanging="630"/>
        <w:spacing w:after="0"/>
        <w:tabs>
          <w:tab w:leader="none" w:pos="63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ZW Data Action Technologies Inc.;</w:t>
      </w:r>
    </w:p>
    <w:p>
      <w:pPr>
        <w:spacing w:after="0" w:line="225" w:lineRule="exact"/>
        <w:rPr>
          <w:rFonts w:ascii="Times New Roman" w:cs="Times New Roman" w:eastAsia="Times New Roman" w:hAnsi="Times New Roman"/>
          <w:sz w:val="18"/>
          <w:szCs w:val="18"/>
          <w:color w:val="auto"/>
        </w:rPr>
      </w:pPr>
    </w:p>
    <w:p>
      <w:pPr>
        <w:ind w:left="10" w:right="160" w:hanging="10"/>
        <w:spacing w:after="0" w:line="312" w:lineRule="auto"/>
        <w:tabs>
          <w:tab w:leader="none" w:pos="6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10" w:right="120" w:hanging="10"/>
        <w:spacing w:after="0" w:line="282"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0" w:right="100" w:hanging="10"/>
        <w:spacing w:after="0" w:line="266"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10" w:right="400" w:hanging="10"/>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 w:right="40" w:hanging="10"/>
        <w:spacing w:after="0" w:line="266" w:lineRule="auto"/>
        <w:tabs>
          <w:tab w:leader="none" w:pos="6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 w:right="900" w:hanging="10"/>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 w:right="260" w:hanging="10"/>
        <w:spacing w:after="0" w:line="266" w:lineRule="auto"/>
        <w:tabs>
          <w:tab w:leader="none" w:pos="6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10" w:right="120" w:hanging="10"/>
        <w:spacing w:after="0" w:line="282"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10" w:right="300" w:hanging="10"/>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 w:right="240" w:hanging="10"/>
        <w:spacing w:after="0" w:line="282" w:lineRule="auto"/>
        <w:tabs>
          <w:tab w:leader="none" w:pos="67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May 15, 2026</w:t>
      </w: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u w:val="single" w:color="auto"/>
          <w:color w:val="auto"/>
        </w:rPr>
        <w:t>/s/ Handong Cheng</w:t>
      </w:r>
    </w:p>
    <w:p>
      <w:pPr>
        <w:spacing w:after="0" w:line="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Handong Cheng</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50"/>
          </w:cols>
          <w:pgMar w:left="31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I, Handong Cheng, certify that:</w:t>
      </w:r>
    </w:p>
    <w:p>
      <w:pPr>
        <w:spacing w:after="0" w:line="225" w:lineRule="exact"/>
        <w:rPr>
          <w:sz w:val="20"/>
          <w:szCs w:val="20"/>
          <w:color w:val="auto"/>
        </w:rPr>
      </w:pPr>
    </w:p>
    <w:p>
      <w:pPr>
        <w:ind w:left="630" w:hanging="630"/>
        <w:spacing w:after="0"/>
        <w:tabs>
          <w:tab w:leader="none" w:pos="63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ZW Data Action Technologies Inc.;</w:t>
      </w:r>
    </w:p>
    <w:p>
      <w:pPr>
        <w:spacing w:after="0" w:line="225" w:lineRule="exact"/>
        <w:rPr>
          <w:rFonts w:ascii="Times New Roman" w:cs="Times New Roman" w:eastAsia="Times New Roman" w:hAnsi="Times New Roman"/>
          <w:sz w:val="18"/>
          <w:szCs w:val="18"/>
          <w:color w:val="auto"/>
        </w:rPr>
      </w:pPr>
    </w:p>
    <w:p>
      <w:pPr>
        <w:ind w:left="10" w:right="160" w:hanging="10"/>
        <w:spacing w:after="0" w:line="312" w:lineRule="auto"/>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10" w:right="120" w:hanging="10"/>
        <w:spacing w:after="0" w:line="282"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10" w:right="100" w:hanging="10"/>
        <w:spacing w:after="0" w:line="266"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10" w:right="400" w:hanging="10"/>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 w:right="40" w:hanging="10"/>
        <w:spacing w:after="0" w:line="266" w:lineRule="auto"/>
        <w:tabs>
          <w:tab w:leader="none" w:pos="6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 w:right="900" w:hanging="10"/>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 w:right="260" w:hanging="10"/>
        <w:spacing w:after="0" w:line="266" w:lineRule="auto"/>
        <w:tabs>
          <w:tab w:leader="none" w:pos="6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10" w:right="120" w:hanging="10"/>
        <w:spacing w:after="0" w:line="282"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10" w:right="300" w:hanging="10"/>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 w:right="240" w:hanging="10"/>
        <w:spacing w:after="0" w:line="282" w:lineRule="auto"/>
        <w:tabs>
          <w:tab w:leader="none" w:pos="67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May 15, 2026</w:t>
      </w: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u w:val="single" w:color="auto"/>
          <w:color w:val="auto"/>
        </w:rPr>
        <w:t>/s/ Handong Cheng</w:t>
      </w:r>
    </w:p>
    <w:p>
      <w:pPr>
        <w:spacing w:after="0" w:line="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Handong Cheng</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Acting Chief Financial Officer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ectPr>
          <w:pgSz w:w="11900" w:h="16838" w:orient="portrait"/>
          <w:cols w:equalWidth="0" w:num="1">
            <w:col w:w="11250"/>
          </w:cols>
          <w:pgMar w:left="31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Each of the undersigned hereby certifies, in his capacity as an officer of ZW Data Action Technologies Inc. (the “Company”), for the purposes of 18 U.S.C.</w:t>
      </w:r>
    </w:p>
    <w:p>
      <w:pPr>
        <w:spacing w:after="0" w:line="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the best of his knowledge:</w:t>
      </w:r>
    </w:p>
    <w:p>
      <w:pPr>
        <w:spacing w:after="0" w:line="207" w:lineRule="exact"/>
        <w:rPr>
          <w:sz w:val="20"/>
          <w:szCs w:val="20"/>
          <w:color w:val="auto"/>
        </w:rPr>
      </w:pPr>
    </w:p>
    <w:p>
      <w:pPr>
        <w:ind w:left="10" w:right="180" w:hanging="10"/>
        <w:spacing w:after="0" w:line="282" w:lineRule="auto"/>
        <w:tabs>
          <w:tab w:leader="none" w:pos="6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quarter ended March 31, 2026 fully complies with the requirements of Section 13a-14(b) or 15d-14(b) of the Securities Exchange Act of 1934; and</w:t>
      </w:r>
    </w:p>
    <w:p>
      <w:pPr>
        <w:spacing w:after="0" w:line="161" w:lineRule="exact"/>
        <w:rPr>
          <w:rFonts w:ascii="Times New Roman" w:cs="Times New Roman" w:eastAsia="Times New Roman" w:hAnsi="Times New Roman"/>
          <w:sz w:val="18"/>
          <w:szCs w:val="18"/>
          <w:color w:val="auto"/>
        </w:rPr>
      </w:pPr>
    </w:p>
    <w:p>
      <w:pPr>
        <w:ind w:left="10" w:right="140" w:hanging="10"/>
        <w:spacing w:after="0" w:line="500" w:lineRule="auto"/>
        <w:tabs>
          <w:tab w:leader="none" w:pos="6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May 15, 2026</w:t>
      </w:r>
    </w:p>
    <w:p>
      <w:pPr>
        <w:spacing w:after="0" w:line="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u w:val="single" w:color="auto"/>
          <w:color w:val="auto"/>
        </w:rPr>
        <w:t>/s/ Handong Cheng</w:t>
      </w:r>
    </w:p>
    <w:p>
      <w:pPr>
        <w:spacing w:after="0" w:line="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Handong Cheng</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u w:val="single" w:color="auto"/>
          <w:color w:val="auto"/>
        </w:rPr>
        <w:t>/s/ Handong Cheng</w:t>
      </w:r>
    </w:p>
    <w:p>
      <w:pPr>
        <w:spacing w:after="0" w:line="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Handong Cheng</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Acting Chief Financial Officer</w:t>
      </w:r>
    </w:p>
    <w:p>
      <w:pPr>
        <w:spacing w:after="0" w:line="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(Principal Accounting and Financial Officer)</w:t>
      </w:r>
    </w:p>
    <w:sectPr>
      <w:pgSz w:w="11900" w:h="16838" w:orient="portrait"/>
      <w:cols w:equalWidth="0" w:num="1">
        <w:col w:w="11250"/>
      </w:cols>
      <w:pgMar w:left="31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lowerLetter"/>
      <w:start w:val="3"/>
    </w:lvl>
  </w:abstractNum>
  <w:abstractNum w:abstractNumId="7">
    <w:nsid w:val="6763845E"/>
    <w:multiLevelType w:val="hybridMultilevel"/>
    <w:lvl w:ilvl="0">
      <w:lvlJc w:val="left"/>
      <w:lvlText w:val="%1)"/>
      <w:numFmt w:val="lowerLetter"/>
      <w:start w:val="5"/>
    </w:lvl>
  </w:abstractNum>
  <w:abstractNum w:abstractNumId="8">
    <w:nsid w:val="75A2A8D4"/>
    <w:multiLevelType w:val="hybridMultilevel"/>
    <w:lvl w:ilvl="0">
      <w:lvlJc w:val="left"/>
      <w:lvlText w:val="%1."/>
      <w:numFmt w:val="decimal"/>
      <w:start w:val="5"/>
    </w:lvl>
  </w:abstractNum>
  <w:abstractNum w:abstractNumId="9">
    <w:nsid w:val="8EDBDAB"/>
    <w:multiLevelType w:val="hybridMultilevel"/>
    <w:lvl w:ilvl="0">
      <w:lvlJc w:val="left"/>
      <w:lvlText w:val="%1."/>
      <w:numFmt w:val="decimal"/>
      <w:start w:val="9"/>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upperLetter"/>
    </w:lvl>
    <w:lvl w:ilvl="1">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upperLetter"/>
      <w:start w:val="2"/>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3"/>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4"/>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1)"/>
      <w:numFmt w:val="decimal"/>
      <w:start w:val="6"/>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upperLetter"/>
      <w:start w:val="3"/>
    </w:lvl>
  </w:abstractNum>
  <w:abstractNum w:abstractNumId="28">
    <w:nsid w:val="614FD4A1"/>
    <w:multiLevelType w:val="hybridMultilevel"/>
    <w:lvl w:ilvl="0">
      <w:lvlJc w:val="left"/>
      <w:lvlText w:val="%1"/>
      <w:numFmt w:val="decimal"/>
      <w:start w:val="101"/>
    </w:lvl>
  </w:abstractNum>
  <w:abstractNum w:abstractNumId="29">
    <w:nsid w:val="419AC241"/>
    <w:multiLevelType w:val="hybridMultilevel"/>
    <w:lvl w:ilvl="0">
      <w:lvlJc w:val="left"/>
      <w:lvlText w:val="%1"/>
      <w:numFmt w:val="decimal"/>
      <w:start w:val="104"/>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decimal"/>
      <w:start w:val="5"/>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lowerLetter"/>
      <w:start w:val="1"/>
    </w:lvl>
  </w:abstractNum>
  <w:abstractNum w:abstractNumId="36">
    <w:nsid w:val="5C482A97"/>
    <w:multiLevelType w:val="hybridMultilevel"/>
    <w:lvl w:ilvl="0">
      <w:lvlJc w:val="left"/>
      <w:lvlText w:val="%1."/>
      <w:numFmt w:val="decimal"/>
      <w:start w:val="5"/>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2026-05-15T06:34:35Z</dcterms:created>
  <dcterms:modified xsi:type="dcterms:W3CDTF">2026-05-15T06:34:35Z</dcterms:modified>
</cp:coreProperties>
</file>