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Chu Kai</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ZW DATA ACTION TECHNOLOGIES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8/F, 29 DES VOEUX ROAD CENTRAL, CENTRAL</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HONG KONG</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F4</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100195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ZW Data Action Technologies Inc.</w:t>
              </w:r>
            </w:hyperlink>
            <w:r>
              <w:rPr/>
              <w:t xml:space="preserve"> [ </w:t>
            </w:r>
            <w:r>
              <w:rPr>
                <w:rFonts w:ascii="Times;serif" w:hAnsi="Times;serif"/>
                <w:color w:val="0000FF"/>
                <w:sz w:val="24"/>
                <w:shd w:fill="FFFFFF" w:val="clear"/>
              </w:rPr>
              <w:t>CNET</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06/10/2025</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149"/>
        <w:gridCol w:w="921"/>
        <w:gridCol w:w="790"/>
        <w:gridCol w:w="612"/>
        <w:gridCol w:w="346"/>
        <w:gridCol w:w="1019"/>
        <w:gridCol w:w="437"/>
        <w:gridCol w:w="603"/>
        <w:gridCol w:w="1142"/>
        <w:gridCol w:w="985"/>
        <w:gridCol w:w="120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14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9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8"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59"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4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2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14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2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9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1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01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0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4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20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14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par value $0.001</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06/10/2025</w:t>
            </w:r>
          </w:p>
        </w:tc>
        <w:tc>
          <w:tcPr>
            <w:tcW w:w="79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1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89,606</w:t>
            </w:r>
          </w:p>
        </w:tc>
        <w:tc>
          <w:tcPr>
            <w:tcW w:w="43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14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95,833</w:t>
            </w:r>
          </w:p>
        </w:tc>
        <w:tc>
          <w:tcPr>
            <w:tcW w:w="98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2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Marvel Investment Limited, a wholly owned entity of the Reporting Person</w:t>
            </w:r>
          </w:p>
        </w:tc>
      </w:tr>
      <w:tr>
        <w:trPr/>
        <w:tc>
          <w:tcPr>
            <w:tcW w:w="214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par value $0.001</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04/22/2026</w:t>
            </w:r>
          </w:p>
        </w:tc>
        <w:tc>
          <w:tcPr>
            <w:tcW w:w="79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1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165,000</w:t>
            </w:r>
          </w:p>
        </w:tc>
        <w:tc>
          <w:tcPr>
            <w:tcW w:w="43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114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260,833</w:t>
            </w:r>
          </w:p>
        </w:tc>
        <w:tc>
          <w:tcPr>
            <w:tcW w:w="98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2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On September 25, 2024, the Issuer entered into a Securities Purchase Agreement with Marvel Investment Limited, a British Virgin Island company, which is owned and controlled by the Reporting Person (the "Purchaser"), pursuant to which the Purchaser agreed to purchase 89,606 shares of common stock of the Company for an aggregate purchase price of $268,818. The transaction was consummated in the P.R. China on June 10, 2025.</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No consideration was paid by the Reporting Person for 165,000 shares of common stock. 165,000 shares of the Issuer's common stock was awarded to the Reporting Person by the Board of Directors as compensation for services.</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Chu Kai</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05/05/2026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493177" TargetMode="External"/><Relationship Id="rId5" Type="http://schemas.openxmlformats.org/officeDocument/2006/relationships/hyperlink" Target="http://www.sec.gov/cgi-bin/browse-edgar?action=getcompany&amp;CIK=000137632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699</Words>
  <Characters>3737</Characters>
  <CharactersWithSpaces>4365</CharactersWithSpaces>
  <Paragraphs>105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