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ZW Data Action Technologies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Nevada</w:t>
            </w:r>
          </w:p>
        </w:tc>
        <w:tc>
          <w:tcPr>
            <w:tcW w:w="380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001-34647</w:t>
            </w:r>
          </w:p>
        </w:tc>
        <w:tc>
          <w:tcPr>
            <w:tcW w:w="1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20-4672080</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8/F. 29 Des Voeux Road Central, Central,</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HK Special Administrative Region of the People's Republic of CN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 +852 2669-8078</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Tower A, No. 68 First Helong Road</w:t>
      </w:r>
    </w:p>
    <w:p>
      <w:pPr>
        <w:jc w:val="center"/>
        <w:spacing w:after="0"/>
        <w:rPr>
          <w:sz w:val="20"/>
          <w:szCs w:val="20"/>
          <w:color w:val="auto"/>
        </w:rPr>
      </w:pPr>
      <w:r>
        <w:rPr>
          <w:rFonts w:ascii="Times New Roman" w:cs="Times New Roman" w:eastAsia="Times New Roman" w:hAnsi="Times New Roman"/>
          <w:sz w:val="18"/>
          <w:szCs w:val="18"/>
          <w:color w:val="auto"/>
        </w:rPr>
        <w:t>Baiyun District, Guangzhou City, Guangdong Province,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CN 510440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rPr>
              <w:t>CNET</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549"/>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68"/>
        </w:trPr>
        <w:tc>
          <w:tcPr>
            <w:tcW w:w="36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detailed in Item 1.01 of the Current Reports on Form 8-K filed by ZW Data Action Technologies Inc. (the “Company”) with the SEC on August 27, 2024, September 9, 2024 and September 27, 2024, respectively, on June 10, 2025, in accordance with the securities purchase agreements entered into by the Company with the investors described therein, the Company issued a total of 358,424 restricted shares of common stock to the investors, including accredited and non-US persons and entities. The shares of common stock were sold for $3.0 per share with total gross proceeds from the transactions amounting to approximately $1,075,272.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Dated: June 10, 2025</w:t>
      </w:r>
      <w:r>
        <w:rPr>
          <w:sz w:val="20"/>
          <w:szCs w:val="20"/>
          <w:color w:val="auto"/>
        </w:rPr>
        <w:tab/>
      </w:r>
      <w:r>
        <w:rPr>
          <w:rFonts w:ascii="Times New Roman" w:cs="Times New Roman" w:eastAsia="Times New Roman" w:hAnsi="Times New Roman"/>
          <w:sz w:val="17"/>
          <w:szCs w:val="17"/>
          <w:color w:val="auto"/>
        </w:rPr>
        <w:t>ZW DATA ACTION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Acting Chief Financial Officer</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2025-06-10T15:15:21Z</dcterms:created>
  <dcterms:modified xsi:type="dcterms:W3CDTF">2025-06-10T15:15:21Z</dcterms:modified>
</cp:coreProperties>
</file>