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0"/>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spacing w:after="0"/>
              <w:rPr>
                <w:sz w:val="24"/>
                <w:szCs w:val="24"/>
                <w:color w:val="auto"/>
              </w:rPr>
            </w:pPr>
          </w:p>
        </w:tc>
        <w:tc>
          <w:tcPr>
            <w:tcW w:w="8800" w:type="dxa"/>
            <w:vAlign w:val="bottom"/>
            <w:gridSpan w:val="11"/>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ANNUAL REPORT PURSUANT TO SECTION 13 OR 15(d) OF THE</w:t>
            </w:r>
          </w:p>
        </w:tc>
      </w:tr>
      <w:tr>
        <w:trPr>
          <w:trHeight w:val="238"/>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gridSpan w:val="3"/>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OR</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0"/>
        </w:trPr>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spacing w:after="0"/>
              <w:rPr>
                <w:sz w:val="24"/>
                <w:szCs w:val="24"/>
                <w:color w:val="auto"/>
              </w:rPr>
            </w:pPr>
          </w:p>
        </w:tc>
        <w:tc>
          <w:tcPr>
            <w:tcW w:w="8800" w:type="dxa"/>
            <w:vAlign w:val="bottom"/>
            <w:gridSpan w:val="11"/>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16"/>
        </w:trPr>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 to ____</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NO. 001-34647</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30"/>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ZW DATA ACTION TECHNOLOGIES INC.</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20-4672080</w:t>
            </w:r>
          </w:p>
        </w:tc>
      </w:tr>
      <w:tr>
        <w:trPr>
          <w:trHeight w:val="20"/>
        </w:trPr>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354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20" w:type="dxa"/>
            <w:vAlign w:val="bottom"/>
          </w:tcPr>
          <w:p>
            <w:pPr>
              <w:spacing w:after="0"/>
              <w:rPr>
                <w:sz w:val="20"/>
                <w:szCs w:val="20"/>
                <w:color w:val="auto"/>
              </w:rPr>
            </w:pPr>
          </w:p>
        </w:tc>
        <w:tc>
          <w:tcPr>
            <w:tcW w:w="756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8/F. 29 Des Voeux Road Central, Central,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800" w:type="dxa"/>
            <w:vAlign w:val="bottom"/>
            <w:gridSpan w:val="11"/>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Hong Kong Special Administrative Region of the People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Republic of China</w:t>
            </w:r>
          </w:p>
        </w:tc>
      </w:tr>
      <w:tr>
        <w:trPr>
          <w:trHeight w:val="234"/>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+852 2669-8078</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7"/>
        </w:trPr>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3540" w:type="dxa"/>
            <w:vAlign w:val="bottom"/>
            <w:gridSpan w:val="4"/>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24"/>
                <w:szCs w:val="24"/>
                <w:color w:val="auto"/>
              </w:rPr>
            </w:pPr>
          </w:p>
        </w:tc>
        <w:tc>
          <w:tcPr>
            <w:tcW w:w="39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28"/>
        </w:trPr>
        <w:tc>
          <w:tcPr>
            <w:tcW w:w="32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2"/>
          </w:tcPr>
          <w:p>
            <w:pPr>
              <w:jc w:val="center"/>
              <w:ind w:right="970"/>
              <w:spacing w:after="0"/>
              <w:rPr>
                <w:sz w:val="20"/>
                <w:szCs w:val="20"/>
                <w:color w:val="auto"/>
              </w:rPr>
            </w:pPr>
            <w:r>
              <w:rPr>
                <w:rFonts w:ascii="Times New Roman" w:cs="Times New Roman" w:eastAsia="Times New Roman" w:hAnsi="Times New Roman"/>
                <w:sz w:val="18"/>
                <w:szCs w:val="18"/>
                <w:color w:val="auto"/>
              </w:rPr>
              <w:t>CNET</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9060" w:space="720"/>
            <w:col w:w="1460"/>
          </w:cols>
          <w:pgMar w:left="320" w:top="580" w:right="339" w:bottom="1440" w:gutter="0" w:footer="0" w:header="0"/>
          <w:type w:val="continuous"/>
        </w:sectPr>
      </w:pPr>
    </w:p>
    <w:p>
      <w:pPr>
        <w:spacing w:after="0" w:line="3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8240" w:space="720"/>
            <w:col w:w="2280"/>
          </w:cols>
          <w:pgMar w:left="320" w:top="580" w:right="339" w:bottom="1440" w:gutter="0" w:footer="0" w:header="0"/>
          <w:type w:val="continuous"/>
        </w:sectPr>
      </w:pPr>
    </w:p>
    <w:p>
      <w:pPr>
        <w:spacing w:after="0" w:line="37"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80" w:right="339" w:bottom="1440" w:gutter="0" w:footer="0" w:header="0"/>
          <w:type w:val="continuous"/>
        </w:sectPr>
      </w:pPr>
    </w:p>
    <w:p>
      <w:pPr>
        <w:spacing w:after="0" w:line="27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aggregate market value of 2,257,357 shares of the voting and non-voting common equity held by non-affiliates of the Registrant was approximately $3,408,609 on the last business day of the Registrant’s most recently completed second fiscal quarter, based on the last sale price of the registrant’s common stock on such date of $1.51 per share, as reported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$0.001 par value as of March 31, 2026 was 3,268,429.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1A.</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1B.</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1C</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2</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3</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PART II.</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5</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6</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7</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7A.</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8</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9</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ITEM 9A.</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9B.</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9C.</w:t>
      </w:r>
    </w:p>
    <w:p>
      <w:pPr>
        <w:spacing w:after="0" w:line="9" w:lineRule="exact"/>
        <w:rPr>
          <w:sz w:val="20"/>
          <w:szCs w:val="20"/>
          <w:color w:val="auto"/>
        </w:rPr>
      </w:pPr>
    </w:p>
    <w:p>
      <w:pPr>
        <w:ind w:left="560" w:right="100" w:hanging="552"/>
        <w:spacing w:after="0" w:line="277" w:lineRule="auto"/>
        <w:rPr>
          <w:sz w:val="20"/>
          <w:szCs w:val="20"/>
          <w:color w:val="auto"/>
        </w:rPr>
      </w:pPr>
      <w:r>
        <w:rPr>
          <w:rFonts w:ascii="Times New Roman" w:cs="Times New Roman" w:eastAsia="Times New Roman" w:hAnsi="Times New Roman"/>
          <w:sz w:val="17"/>
          <w:szCs w:val="17"/>
          <w:b w:val="1"/>
          <w:bCs w:val="1"/>
          <w:u w:val="single" w:color="auto"/>
          <w:color w:val="0000EE"/>
        </w:rPr>
        <w:t xml:space="preserve">PART III. </w:t>
      </w:r>
      <w:r>
        <w:rPr>
          <w:rFonts w:ascii="Times New Roman" w:cs="Times New Roman" w:eastAsia="Times New Roman" w:hAnsi="Times New Roman"/>
          <w:sz w:val="17"/>
          <w:szCs w:val="17"/>
          <w:u w:val="single" w:color="auto"/>
          <w:color w:val="0000EE"/>
        </w:rPr>
        <w:t>ITEM 10 ITEM 11</w:t>
      </w:r>
    </w:p>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12</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13</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0000EE"/>
        </w:rPr>
        <w:t>ITEM 14</w:t>
      </w:r>
    </w:p>
    <w:p>
      <w:pPr>
        <w:spacing w:after="0" w:line="9" w:lineRule="exact"/>
        <w:rPr>
          <w:sz w:val="20"/>
          <w:szCs w:val="20"/>
          <w:color w:val="auto"/>
        </w:rPr>
      </w:pPr>
    </w:p>
    <w:p>
      <w:pPr>
        <w:ind w:left="560" w:right="100" w:hanging="552"/>
        <w:spacing w:after="0" w:line="277" w:lineRule="auto"/>
        <w:rPr>
          <w:sz w:val="20"/>
          <w:szCs w:val="20"/>
          <w:color w:val="auto"/>
        </w:rPr>
      </w:pPr>
      <w:r>
        <w:rPr>
          <w:rFonts w:ascii="Times New Roman" w:cs="Times New Roman" w:eastAsia="Times New Roman" w:hAnsi="Times New Roman"/>
          <w:sz w:val="17"/>
          <w:szCs w:val="17"/>
          <w:b w:val="1"/>
          <w:bCs w:val="1"/>
          <w:u w:val="single" w:color="auto"/>
          <w:color w:val="0000EE"/>
        </w:rPr>
        <w:t xml:space="preserve">PART IV. </w:t>
      </w:r>
      <w:r>
        <w:rPr>
          <w:rFonts w:ascii="Times New Roman" w:cs="Times New Roman" w:eastAsia="Times New Roman" w:hAnsi="Times New Roman"/>
          <w:sz w:val="17"/>
          <w:szCs w:val="17"/>
          <w:u w:val="single" w:color="auto"/>
          <w:color w:val="0000EE"/>
        </w:rPr>
        <w:t>ITEM 15 ITEM 16</w:t>
      </w:r>
    </w:p>
    <w:p>
      <w:pPr>
        <w:spacing w:after="0" w:line="20" w:lineRule="exact"/>
        <w:rPr>
          <w:sz w:val="20"/>
          <w:szCs w:val="20"/>
          <w:color w:val="auto"/>
        </w:rPr>
      </w:pPr>
      <w:r>
        <w:rPr>
          <w:sz w:val="20"/>
          <w:szCs w:val="20"/>
          <w:color w:val="auto"/>
        </w:rPr>
        <w:br w:type="column"/>
      </w:r>
    </w:p>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UNRESOLVED STAFF COMMENTS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CYBERSECURITY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LEGAL PROCEEDINGS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MINE SAFETY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MARKET FOR REGISTRANT’S COMMON EQUITY, RELATED STOCKHOLDER MATTERS AND ISSUER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PURCHASES OF EQUITY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[RESERVED]</w:t>
      </w:r>
    </w:p>
    <w:p>
      <w:pPr>
        <w:spacing w:after="0" w:line="9"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18"/>
          <w:szCs w:val="18"/>
          <w:u w:val="single" w:color="auto"/>
          <w:color w:val="0000EE"/>
        </w:rPr>
        <w:t>MANAGEMENT’S DISCUSSION AND ANALYSIS OF FINANCIAL CONDITION AND RESULTS OF OPERATIONS</w:t>
      </w:r>
    </w:p>
    <w:p>
      <w:pPr>
        <w:spacing w:after="0" w:line="1" w:lineRule="exact"/>
        <w:rPr>
          <w:sz w:val="20"/>
          <w:szCs w:val="20"/>
          <w:color w:val="auto"/>
        </w:rPr>
      </w:pPr>
    </w:p>
    <w:p>
      <w:pPr>
        <w:ind w:right="2520"/>
        <w:spacing w:after="0" w:line="250" w:lineRule="auto"/>
        <w:rPr>
          <w:sz w:val="20"/>
          <w:szCs w:val="20"/>
          <w:color w:val="auto"/>
        </w:rPr>
      </w:pPr>
      <w:r>
        <w:rPr>
          <w:rFonts w:ascii="Times New Roman" w:cs="Times New Roman" w:eastAsia="Times New Roman" w:hAnsi="Times New Roman"/>
          <w:sz w:val="18"/>
          <w:szCs w:val="18"/>
          <w:u w:val="single" w:color="auto"/>
          <w:color w:val="0000EE"/>
        </w:rPr>
        <w:t>QUANTITATIVE AND QUALITATIVE DISCLOSURES ABOUT MARKET RISK FINANCIAL STATEMENTS AND SUPPLEMENTARY DATA</w:t>
      </w:r>
    </w:p>
    <w:p>
      <w:pPr>
        <w:spacing w:after="0" w:line="1"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u w:val="single" w:color="auto"/>
          <w:color w:val="0000EE"/>
        </w:rPr>
        <w:t>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CONTROLS AND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DISCLOSURE REGARDING FOREIGN JURISDICTIONS THAT PREVENT INSPECTIONS</w:t>
      </w:r>
    </w:p>
    <w:p>
      <w:pPr>
        <w:spacing w:after="0" w:line="207" w:lineRule="exact"/>
        <w:rPr>
          <w:sz w:val="20"/>
          <w:szCs w:val="20"/>
          <w:color w:val="auto"/>
        </w:rPr>
      </w:pPr>
    </w:p>
    <w:p>
      <w:pPr>
        <w:ind w:right="2860"/>
        <w:spacing w:after="0" w:line="261" w:lineRule="auto"/>
        <w:rPr>
          <w:sz w:val="20"/>
          <w:szCs w:val="20"/>
          <w:color w:val="auto"/>
        </w:rPr>
      </w:pPr>
      <w:r>
        <w:rPr>
          <w:rFonts w:ascii="Times New Roman" w:cs="Times New Roman" w:eastAsia="Times New Roman" w:hAnsi="Times New Roman"/>
          <w:sz w:val="18"/>
          <w:szCs w:val="18"/>
          <w:u w:val="single" w:color="auto"/>
          <w:color w:val="0000EE"/>
        </w:rPr>
        <w:t>DIRECTORS, EXECUTIVE OFFICERS AND CORPORATE GOVERNANCE EXECUTIVE COMPENSATION</w:t>
      </w:r>
    </w:p>
    <w:p>
      <w:pPr>
        <w:ind w:right="660"/>
        <w:spacing w:after="0" w:line="250" w:lineRule="auto"/>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p>
    <w:p>
      <w:pPr>
        <w:spacing w:after="0" w:line="1" w:lineRule="exact"/>
        <w:rPr>
          <w:sz w:val="20"/>
          <w:szCs w:val="20"/>
          <w:color w:val="auto"/>
        </w:rPr>
      </w:pPr>
    </w:p>
    <w:p>
      <w:pPr>
        <w:ind w:right="960"/>
        <w:spacing w:after="0" w:line="260" w:lineRule="auto"/>
        <w:rPr>
          <w:sz w:val="20"/>
          <w:szCs w:val="20"/>
          <w:color w:val="auto"/>
        </w:rPr>
      </w:pPr>
      <w:r>
        <w:rPr>
          <w:rFonts w:ascii="Times New Roman" w:cs="Times New Roman" w:eastAsia="Times New Roman" w:hAnsi="Times New Roman"/>
          <w:sz w:val="18"/>
          <w:szCs w:val="18"/>
          <w:u w:val="single" w:color="auto"/>
          <w:color w:val="0000EE"/>
        </w:rPr>
        <w:t>CERTAIN RELATIONSHIPS AND RELATED TRANSACTIONS, AND DIRECTOR INDEPENDENCE PRINCIPAL ACCOUNTANT FEE AND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EXHIBITS AND FINANCIAL STATEMENT SCHEDULES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914400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EE"/>
        </w:rPr>
        <w:t>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46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EE"/>
        </w:rPr>
        <w:t>46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46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47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47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70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73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74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75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80</w:t>
      </w:r>
    </w:p>
    <w:p>
      <w:pPr>
        <w:sectPr>
          <w:pgSz w:w="11900" w:h="16838" w:orient="portrait"/>
          <w:cols w:equalWidth="0" w:num="3">
            <w:col w:w="1320" w:space="360"/>
            <w:col w:w="8660" w:space="720"/>
            <w:col w:w="18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and Section 21E of the Securities Exchange Act of 1934. These statements relate to future events or our future financial performance. We have attempted to identify forward-looking statements by terminology including “anticipates”, “believes”, “expects”, “can”, “continue”, “could”, “estimates”, “expects”, “intends”, “may”, “plans”, “potential”, “predict”, “should” or “will” or the negative of these terms or other comparable terminology. These statements are only predictions. Uncertainties and other factors, including the risks outlined under Risk Factors contained in Item 1A of this Form 10-K, may cause our actual results, levels of activity, performance or achievements to be materially different from any future results, levels or activity, performance or achievements expressed or implied by these forward-looking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Our expectations are as of the date this Form 10-K is filed, and we do not intend to update any of the forward-looking statements after the filing date to conform these statements to actual results, unless required by law.</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proxy and information statements and amendments to reports filed or furnished pursuant to Sections 13(a) and 15(d) of the Securities Exchange Act of 1934, as amended. The SEC also maintains a website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us and other companies that file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 electronically. You may also obtain copies of reports filed with the SEC, free of charge, via a link included on our website at investor.chinanet-online.com.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 w:name="page5"/>
    <w:bookmarkEnd w:id="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had historically been unable to inspect our auditor in relation to their audit work performed for our financial statements and the inability of the PCAOB to conduct inspections over our auditor has deprived our investors with the benefits of such inspections.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Our Consolidated Variable Interest Entities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 Their Respective Individual Shareholders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ZW Data Action Technologies Inc. is not an operating company in China, but a Nevada holding company with no equity ownership in its VIEs. We conduct our operations in China through our PRC subsidiaries, our VIEs, with which we have maintained contractual arrangements, and their subsidiaries in China. PRC laws and regulations impose certain restrictions or prohibitions on foreign ownership of companies that engage in value-added telecommunication services. Accordingly, we operate these businesses in China through our VIEs, and rely on contractual arrangements among our PRC subsidiaries, our VIEs and their shareholders to control the business operations of our VIEs. As used in this annual report, “we,” “us,” “our company,” “the Company” or “our” refers to ZW Data Action Technologies Inc., a Nevada company, its subsidiaries, and, in the context of describing its operations and consolidated financial information, its consolidated affiliated entities in China, including, but not limited to, Business Opportunity Online (Beijing) Network Technology Co., Ltd. (“Business Opportunity Online”) and Beijing CNET Online Advertising Co., Ltd. (“Beijing CNET Online”). Investors of our common stock are not purchasing equity interest in our operating entities in China but instead are purchasing equity interest in a Nevada holding company.</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 series of contractual agreements, including exclusive business cooperation agreements, exclusive option agreements, equity pledge agreements, and irrevocable powers of attorney, have been entered into by and among our PRC subsidiaries, our VIEs and their respective shareholders. Terms contained in each set of contractual arrangements with our PRC subsidiaries, our VIEs and their respective shareholders are substantially similar. For more details of these contractual arrangements, see “Item 1. Business—Our subsidiaries and our VIE Structure.”</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contractual arrangements may not be as effective as direct ownership in providing us with control over our consolidated VIEs and we may incur substantial costs to enforce the terms of the arrangements. Please refer to the discussion of uncertainties and risks in relation to our VIE Structure on page 12 under Business-Government Regulation contained in Item 1 and page 23 under Risk Factors-Risks Relating to Regulation of Our Business and to Our Structure contained in Item 1A of this Annual Report.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our VIEs. Investors may never directly hold equity interests in our VIEs. If the PRC government finds that the agreements that establish the structure for operating our business do not comply with PRC laws and regulations, or if these regulations or their interpretations change in the future, we could be subject to severe penalties or be forced to relinquish our interests in those operations. Our holding company, our PRC subsidiaries, our VIEs, and investors of our company face uncertainty about potential future actions by the PRC government that could affect the enforceability of the contractual arrangements with our VIEs and, consequently, significantly affect the financial performance of our VIEs and our company as a whole.</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There are also substantial uncertainties regarding the interpretation and application of current and future PRC laws, regulations and rules regarding the status of the rights of our Nevada holding company with respect to its contractual arrangements with our VIEs and their respective shareholders. It is uncertain whether any new PRC laws or regulations relating to variable interest entity structures will be adopted or if adopted, what they would provide. If we or any of our VIEs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1A. Risk Factors—Risks Relating to Our Business and to Our Structure—If the PRC government finds that the agreements that establish the structure for operating our businesses in China do not comply with PRC governmental restrictions on foreign investment in industries in which we operate, or if these regulations or their interpretation change in the future, we could be subject to severe penalties.”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China and the complex and evolving PRC laws and regulations. For example, we face risks associated with regulatory approvals on offerings conducted overseas by, and foreign investment in China-based issuers, the use of our VIEs, anti-monopoly regulatory actions, and oversight on cybersecurity and data privacy. Our auditor is headquartered in Hong Kong, China, a jurisdiction where the PCAOB was unable to conduct inspections and investigations before 2022. We face risks associated with whether Public Company Accounting Oversight Board, or the PCAOB, will continue to be able to satisfactorily conduct inspections of PCAOB-registered public accounting firms headquartered in China mainland and Hong Kong, which is subject to uncertainty and depends on a number of factors out of our, and our auditor’s, control. This may impact our ability to conduct certain businesses, accept foreign investments, or list on United States or other foreign exchange outside of China. These risks could result in a material adverse change in our operations and the value of our common stock, significantly limit or completely hinder our ability to offer or continue to offer securities to investors, or cause the value of such securities to significantly decline. For a detailed description of risks related to doing business in China, see “Item 1A. Risk Factors—Risks Associated With Doing Business in China.”</w:t>
      </w:r>
    </w:p>
    <w:p>
      <w:pPr>
        <w:spacing w:after="0" w:line="1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 of little or no value. For more details, see “Item 1A. Risk Factors—Risks Associated With Doing Business in China—The PRC government’s significant oversight and discretion over our business operation could result in a material adverse change in our operations and the value of our listed securities.”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common stock. For more details, see “Item 1A. Risk Factors— Risks Relating to Doing Business in China—Uncertainties in the interpretation and enforcement of PRC laws and regulations could limit the legal protections available to you and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our VIEs and their subsidiaries in China. Our operations in China are governed by PRC laws and regulations. As of the date of this annual report, our consolidated affiliated Chinese entities have obtained the requisite licenses and permits from the PRC government authorities that are material for the business operations of our holding company, our subsidiaries and our VIEs in China, including, among others, the ICP permits held by our PRC operating VIEs. However, given the uncertainties of interpretation and implementation of relevant laws and regulations and the enforcement practice by government authorities, we cannot assure you that we have obtained all the permits or licenses required for conducting our business in China. In addition, we may be required to obtain additional licenses, permits, filings or approvals for the services of our Internet platform in the future. For more detailed information, see “Item 1A. Risks Associated With Doing Business in China—We may be adversely affected by the complexity, uncertainties and changes in PRC licensing and regulation of internet businesses.”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previous issuance of securities to foreign investors, under current PRC laws, regulations and regulatory rules, as of the date of this annual report, we, our PRC subsidiaries and our VIEs, (i) are not required to obtain permissions from the CSRC, (ii) are not required to go through cybersecurity review by the Cyberspace Administration of China, or the CAC, and (iii) have not received or were denied such requisite permissions by any PRC authority.</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However, on February 17, 2023, the CSRC released the Trial Administrative Measures of Overseas Securities Offering and Listing by Domestic Companies and a series of associated regulatory guidelines (collectively, the “Filing Rules”), which came into effect on March 31, 2023. In accordance with the Filing Rules, both direct listing and indirect listing activities of China based enterprises become subject to a unified filing requirement with the CSRC. In addition, an overseas listed company must also submit the filing with respect to its follow-on offerings, issuance of convertible corporate bonds and exchangeable bonds, and other equivalent offering activities, within a specific time frame required by the Filing Rules. Therefore, we will be required to file with the CSRC for our overseas offering of equity and equity linked securities in the future within the applicable scope of the Filing Rules. For more detailed information, see “Item 1A. Risk Factors—Risks Associated With Doing Business in China—The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ZW Data Action Technologies Inc. transfers cash to its wholly-owned Hong Kong subsidiary, namely, CNET Online Technology Co. Limited, by making capital contributions or providing loans, and the Hong Kong subsidiary transfer cash to the subsidiaries in China by making capital contributions or providing loans to them. Because ZW Data Action Technologies Inc. and its subsidiaries control our VIEs through contractual arrangements, they are not able to make direct capital contribution to our VIEs and their subsidiaries. However, they may transfer cash to our VIEs by loans or by making payment to the VIEs for inter-group transactions.</w:t>
      </w:r>
    </w:p>
    <w:p>
      <w:pPr>
        <w:spacing w:after="0" w:line="183" w:lineRule="exact"/>
        <w:rPr>
          <w:sz w:val="20"/>
          <w:szCs w:val="20"/>
          <w:color w:val="auto"/>
        </w:rPr>
      </w:pPr>
    </w:p>
    <w:p>
      <w:pPr>
        <w:ind w:right="20" w:firstLine="50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transferred approximately US$0.40 million in cash to our operating subsidiaries. In addition, our VIEs repaid our operating subsidiaries approximately US$0.09 million. For the year ended December 31, 2024, we transferred approximately US$0.48 million in cash to our operating subsidiaries.</w:t>
      </w:r>
    </w:p>
    <w:p>
      <w:pPr>
        <w:spacing w:after="0" w:line="176"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VIEs may transfer cash to our wholly foreign-owned enterprises (“WFOEs”) by paying service fees according to the exclusive business cooperation agreements. For the years ended December 31, 2025 and 2024, our VIEs did not pay any service fees to our Rise King WFOE under the exclusive business cooperation agreements.</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2025 and 2024, no dividends or distributions were made to ZW Data Action Technologies Inc. by our subsidiaries. Under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or the SAFE. The total restricted net assets of our PRC subsidiaries and VIEs were approximately US$13.11 million and US$13.2 3million as of December 31, 2025 and 2024, respectively. Furthermore, cash transfers from our PRC subsidiaries to entities outside of China are subject to PRC government control of currency conversion. Shortages in the availability of foreign currency may temporarily delay the ability of our PRC subsidiaries and VIEs to remit sufficient foreign currency to pay dividends or other payments to us, or otherwise satisfy their foreign currency denominated obligations. For risks relating to the fund flows of our operations in China, see “Item 1A. Risk Factors—Risks Associated With Doing Business in China—Any limitation on the ability of our PRC subsidiaries and VIEs to make payments to us, or the tax implications of making payments to us, could have a material adverse effect on our ability to conduct our business or our financial condition.”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and 2024, no assets other than cash were transferred through our organization.</w:t>
      </w:r>
    </w:p>
    <w:p>
      <w:pPr>
        <w:spacing w:after="0" w:line="225"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ZW Data Action Technologies Inc. has not declared or paid any cash dividends, nor does it have any present plan to pay any cash dividends on its common stock in the foreseeable future. We currently intend to retain most, if not all, of our available funds and any future earnings to operate and expand our business. See “Item 5. Market For Registrant’s Common Equity, Related Stockholder Matters and Issuer Purchases of Equity Securities—Dividend.”</w:t>
      </w:r>
    </w:p>
    <w:p>
      <w:pPr>
        <w:spacing w:after="0" w:line="15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See also “Item 7. Management’ Discussion and Analysis of Financial Condition and Results of Operations —B. Liquidity and Capital Resources —Cash Transfer within Our Organization and the Related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VIEs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more detailed information, see “Item 1A. Risk Factors—Risks Relating to Regulation of Our Business and to Our Structure—Condensed Consolidating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 w:name="page10"/>
    <w:bookmarkEnd w:id="9"/>
    <w:p>
      <w:pPr>
        <w:jc w:val="center"/>
        <w:ind w:left="360"/>
        <w:spacing w:after="0"/>
        <w:rPr>
          <w:sz w:val="20"/>
          <w:szCs w:val="20"/>
          <w:color w:val="auto"/>
        </w:rPr>
      </w:pPr>
      <w:r>
        <w:rPr>
          <w:rFonts w:ascii="Times New Roman" w:cs="Times New Roman" w:eastAsia="Times New Roman" w:hAnsi="Times New Roman"/>
          <w:sz w:val="18"/>
          <w:szCs w:val="18"/>
          <w:b w:val="1"/>
          <w:bCs w:val="1"/>
          <w:i w:val="1"/>
          <w:iCs w:val="1"/>
          <w:color w:val="auto"/>
        </w:rPr>
        <w:t>SUMMARY OF RISK FACTORS</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 investment in our securities involves a high degree of risk. The occurrence of one or more of the events or circumstances described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7" w:lineRule="exact"/>
        <w:rPr>
          <w:sz w:val="20"/>
          <w:szCs w:val="20"/>
          <w:color w:val="auto"/>
        </w:rPr>
      </w:pPr>
    </w:p>
    <w:p>
      <w:pPr>
        <w:ind w:left="500" w:hanging="492"/>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susceptible to general economic conditions, natural catastrophic events and public health crises, and a potential downturn in advertising and marketing spending by advertisers could adversely affect our operating results in the near future.</w:t>
      </w:r>
    </w:p>
    <w:p>
      <w:pPr>
        <w:spacing w:after="0" w:line="158" w:lineRule="exact"/>
        <w:rPr>
          <w:rFonts w:ascii="Times New Roman" w:cs="Times New Roman" w:eastAsia="Times New Roman" w:hAnsi="Times New Roman"/>
          <w:sz w:val="18"/>
          <w:szCs w:val="18"/>
          <w:color w:val="auto"/>
        </w:rPr>
      </w:pPr>
    </w:p>
    <w:p>
      <w:pPr>
        <w:ind w:left="500" w:right="40" w:hanging="492"/>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competition, and if we do not compete successfully against new and existing competitors, we may lose our market share, and our profitability may be adversely affected.</w:t>
      </w:r>
    </w:p>
    <w:p>
      <w:pPr>
        <w:spacing w:after="0" w:line="15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Privacy and data security concerns, laws, or other regulations could expose us to liability or impair our operations.</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occurrence of security breaches and cyber-attacks could negatively impact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Regulation of Our Business and to Our Structure</w:t>
      </w:r>
    </w:p>
    <w:p>
      <w:pPr>
        <w:spacing w:after="0" w:line="227" w:lineRule="exact"/>
        <w:rPr>
          <w:sz w:val="20"/>
          <w:szCs w:val="20"/>
          <w:color w:val="auto"/>
        </w:rPr>
      </w:pPr>
    </w:p>
    <w:p>
      <w:pPr>
        <w:ind w:left="500" w:right="20" w:hanging="492"/>
        <w:spacing w:after="0" w:line="267"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the PRC government finds that the agreements that establish the structure for operating our business in China do not comply with PRC governmental restrictions on foreign investment in industries in which we operate, or if these regulations or their interpretation change in the future, we could be subject to severe penalties.</w:t>
      </w:r>
    </w:p>
    <w:p>
      <w:pPr>
        <w:spacing w:after="0" w:line="173" w:lineRule="exact"/>
        <w:rPr>
          <w:rFonts w:ascii="Times New Roman" w:cs="Times New Roman" w:eastAsia="Times New Roman" w:hAnsi="Times New Roman"/>
          <w:sz w:val="18"/>
          <w:szCs w:val="18"/>
          <w:color w:val="auto"/>
        </w:rPr>
      </w:pPr>
    </w:p>
    <w:p>
      <w:pPr>
        <w:ind w:left="500" w:right="560" w:hanging="492"/>
        <w:spacing w:after="0" w:line="284"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contractual arrangements with our PRC Operating Entities and their shareholders for our China operations, which may not be as effective in providing operational control as direct ownership.</w:t>
      </w:r>
    </w:p>
    <w:p>
      <w:pPr>
        <w:spacing w:after="0" w:line="185" w:lineRule="exact"/>
        <w:rPr>
          <w:rFonts w:ascii="Times New Roman" w:cs="Times New Roman" w:eastAsia="Times New Roman" w:hAnsi="Times New Roman"/>
          <w:sz w:val="18"/>
          <w:szCs w:val="18"/>
          <w:color w:val="auto"/>
        </w:rPr>
      </w:pPr>
    </w:p>
    <w:p>
      <w:pPr>
        <w:ind w:left="500" w:hanging="492"/>
        <w:spacing w:after="0" w:line="267"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Contractual arrangements we have entered into among the PRC Operating Entities may be subject to scrutiny by the PRC tax authorities and a finding that we owe additional taxes or are ineligible for our tax exemption, or both, could substantially increase our taxes owed, and reduce our net income and the value of your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Doing Business In China</w:t>
      </w:r>
    </w:p>
    <w:p>
      <w:pPr>
        <w:spacing w:after="0" w:line="227"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operations and assets in China are subject to significant political and economic uncertainties.</w:t>
      </w:r>
    </w:p>
    <w:p>
      <w:pPr>
        <w:spacing w:after="0" w:line="225" w:lineRule="exact"/>
        <w:rPr>
          <w:rFonts w:ascii="Times New Roman" w:cs="Times New Roman" w:eastAsia="Times New Roman" w:hAnsi="Times New Roman"/>
          <w:sz w:val="18"/>
          <w:szCs w:val="18"/>
          <w:color w:val="auto"/>
        </w:rPr>
      </w:pPr>
    </w:p>
    <w:p>
      <w:pPr>
        <w:ind w:left="500" w:right="60" w:hanging="492"/>
        <w:spacing w:after="0" w:line="284"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PRC government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significant oversight and discretion over our business operation could result in a material adverse change in our operations and the value of our listed securities.</w:t>
      </w:r>
    </w:p>
    <w:p>
      <w:pPr>
        <w:spacing w:after="0" w:line="15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Uncertainties in the interpretation and enforcement of PRC laws and regulations could limit the legal protections available to you and us.</w:t>
      </w:r>
    </w:p>
    <w:p>
      <w:pPr>
        <w:spacing w:after="0" w:line="252" w:lineRule="exact"/>
        <w:rPr>
          <w:rFonts w:ascii="Times New Roman" w:cs="Times New Roman" w:eastAsia="Times New Roman" w:hAnsi="Times New Roman"/>
          <w:sz w:val="18"/>
          <w:szCs w:val="18"/>
          <w:color w:val="auto"/>
        </w:rPr>
      </w:pPr>
    </w:p>
    <w:p>
      <w:pPr>
        <w:ind w:left="500" w:right="220" w:hanging="492"/>
        <w:spacing w:after="0" w:line="236" w:lineRule="auto"/>
        <w:tabs>
          <w:tab w:leader="none" w:pos="5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PRC regulations relating to mergers and acquisitions of domestic enterprises by foreign investors may increase the administrative burden we face and create regulatory uncertainties.</w:t>
      </w:r>
    </w:p>
    <w:p>
      <w:pPr>
        <w:spacing w:after="0" w:line="195" w:lineRule="exact"/>
        <w:rPr>
          <w:rFonts w:ascii="Times New Roman" w:cs="Times New Roman" w:eastAsia="Times New Roman" w:hAnsi="Times New Roman"/>
          <w:sz w:val="22"/>
          <w:szCs w:val="22"/>
          <w:color w:val="auto"/>
        </w:rPr>
      </w:pPr>
    </w:p>
    <w:p>
      <w:pPr>
        <w:ind w:left="500" w:right="80" w:hanging="492"/>
        <w:spacing w:after="0" w:line="315"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34" w:lineRule="exact"/>
        <w:rPr>
          <w:rFonts w:ascii="Times New Roman" w:cs="Times New Roman" w:eastAsia="Times New Roman" w:hAnsi="Times New Roman"/>
          <w:sz w:val="17"/>
          <w:szCs w:val="17"/>
          <w:color w:val="auto"/>
        </w:rPr>
      </w:pPr>
    </w:p>
    <w:p>
      <w:pPr>
        <w:ind w:left="500" w:right="20" w:hanging="492"/>
        <w:spacing w:after="0" w:line="284"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Substantial uncertainties exist with respect to the interpretation and implementation of cybersecurity related regulations and cybersecurity review as well as any impact these may have on our business operations.</w:t>
      </w:r>
    </w:p>
    <w:p>
      <w:pPr>
        <w:spacing w:after="0" w:line="158" w:lineRule="exact"/>
        <w:rPr>
          <w:rFonts w:ascii="Times New Roman" w:cs="Times New Roman" w:eastAsia="Times New Roman" w:hAnsi="Times New Roman"/>
          <w:sz w:val="18"/>
          <w:szCs w:val="18"/>
          <w:color w:val="auto"/>
        </w:rPr>
      </w:pPr>
    </w:p>
    <w:p>
      <w:pPr>
        <w:ind w:left="500" w:right="100" w:hanging="492"/>
        <w:spacing w:after="0" w:line="267"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 w:name="page11"/>
    <w:bookmarkEnd w:id="10"/>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be adversely affected by the complexity, uncertainties and changes in PRC licensing and regulation of internet businesses.</w:t>
      </w:r>
    </w:p>
    <w:p>
      <w:pPr>
        <w:spacing w:after="0" w:line="225" w:lineRule="exact"/>
        <w:rPr>
          <w:rFonts w:ascii="Times New Roman" w:cs="Times New Roman" w:eastAsia="Times New Roman" w:hAnsi="Times New Roman"/>
          <w:sz w:val="18"/>
          <w:szCs w:val="18"/>
          <w:color w:val="auto"/>
        </w:rPr>
      </w:pPr>
    </w:p>
    <w:p>
      <w:pPr>
        <w:ind w:left="500" w:hanging="492"/>
        <w:spacing w:after="0" w:line="284"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limitation on the ability of our PRC subsidiaries and VIEs to make payments to us, or the tax implications of making payments to us, could have a material adverse effect on our ability to conduct our business or our financial condition.</w:t>
      </w:r>
    </w:p>
    <w:p>
      <w:pPr>
        <w:spacing w:after="0" w:line="158" w:lineRule="exact"/>
        <w:rPr>
          <w:rFonts w:ascii="Times New Roman" w:cs="Times New Roman" w:eastAsia="Times New Roman" w:hAnsi="Times New Roman"/>
          <w:sz w:val="18"/>
          <w:szCs w:val="18"/>
          <w:color w:val="auto"/>
        </w:rPr>
      </w:pPr>
    </w:p>
    <w:p>
      <w:pPr>
        <w:ind w:left="500" w:hanging="492"/>
        <w:spacing w:after="0" w:line="267"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had historically been unable to inspect our auditor in relation to their audit work performed for our financial statements and the inability of the PCAOB to conduct inspections over our auditor has deprived our investors with the benefits of such inspections.</w:t>
      </w:r>
    </w:p>
    <w:p>
      <w:pPr>
        <w:spacing w:after="0" w:line="17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27" w:lineRule="exact"/>
        <w:rPr>
          <w:sz w:val="20"/>
          <w:szCs w:val="20"/>
          <w:color w:val="auto"/>
        </w:rPr>
      </w:pPr>
    </w:p>
    <w:p>
      <w:pPr>
        <w:ind w:left="500" w:right="100" w:hanging="492"/>
        <w:spacing w:after="0" w:line="284"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Nasdaq may delist our securities from quotation on its exchange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ability to make transactions in our securities and subject us to additional trading restrictions.</w:t>
      </w:r>
    </w:p>
    <w:p>
      <w:pPr>
        <w:spacing w:after="0" w:line="158" w:lineRule="exact"/>
        <w:rPr>
          <w:rFonts w:ascii="Times New Roman" w:cs="Times New Roman" w:eastAsia="Times New Roman" w:hAnsi="Times New Roman"/>
          <w:sz w:val="18"/>
          <w:szCs w:val="18"/>
          <w:color w:val="auto"/>
        </w:rPr>
      </w:pPr>
    </w:p>
    <w:p>
      <w:pPr>
        <w:ind w:left="500" w:hanging="492"/>
        <w:spacing w:after="0" w:line="284"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Insiders have substantial control over us, and they could delay or prevent a change in our corporate control even if our other stockholders wanted it to occur.</w:t>
      </w:r>
    </w:p>
    <w:p>
      <w:pPr>
        <w:spacing w:after="0" w:line="158" w:lineRule="exact"/>
        <w:rPr>
          <w:rFonts w:ascii="Times New Roman" w:cs="Times New Roman" w:eastAsia="Times New Roman" w:hAnsi="Times New Roman"/>
          <w:sz w:val="18"/>
          <w:szCs w:val="18"/>
          <w:color w:val="auto"/>
        </w:rPr>
      </w:pPr>
    </w:p>
    <w:p>
      <w:pPr>
        <w:ind w:left="500" w:right="360" w:hanging="492"/>
        <w:spacing w:after="0" w:line="284"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of our Common Stock has been volatile, and will be likely continue to be highly volatile, which is beyond our control and may result in substantial losses to our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that conducts our businesses through our subsidiaries outside of mainland China, PRC subsidiaries and operating entities (the “VIEs”). We primarily operate a one-stop services for our clients on our Omni-channel advertising, precision marketing, influencer marketing and data analysis management system. We also develop blockchain enabled web/mobile applications and provide software solutions, i.e., Software-as-a-Service (“SaaS”) services for clients. In addition, we provide intellectual property licensing services.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derive our revenue principally by:</w:t>
      </w:r>
    </w:p>
    <w:p>
      <w:pPr>
        <w:spacing w:after="0" w:line="225" w:lineRule="exact"/>
        <w:rPr>
          <w:sz w:val="20"/>
          <w:szCs w:val="20"/>
          <w:color w:val="auto"/>
        </w:rPr>
      </w:pPr>
    </w:p>
    <w:p>
      <w:pPr>
        <w:ind w:left="1300" w:right="120" w:hanging="482"/>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the right to use search engine marketing service we purchased from key search engines to increase the sales lead conversion rate for our clients’ business promotion on both mobile and computer searches;</w:t>
      </w:r>
    </w:p>
    <w:p>
      <w:pPr>
        <w:spacing w:after="0" w:line="16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internet advertising and related marketing services for our clients’ businesses;</w:t>
      </w:r>
    </w:p>
    <w:p>
      <w:pPr>
        <w:spacing w:after="0" w:line="252"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intellectual property (“IP”) licensing services; and</w:t>
      </w:r>
    </w:p>
    <w:p>
      <w:pPr>
        <w:spacing w:after="0" w:line="252"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Blockchain-based SaaS Services.</w:t>
      </w:r>
    </w:p>
    <w:p>
      <w:pPr>
        <w:spacing w:after="0" w:line="25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We generated total revenues of US$4.61 million for the year ended December 31, 2025, compared with US$15.44 million in 2024. Net loss attributable to our stockholders was US$1.77 million and US$3.76 million for the years ended December 31, 2025 and 2024, respectively.</w:t>
      </w:r>
    </w:p>
    <w:p>
      <w:pPr>
        <w:spacing w:after="0" w:line="162"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During fiscal 2025, we have strategically repositioned our core business, i.e., our Internet advertising and related marketing service business to have a renewed focus on markets outside of mainland China; as such, the Company’s operations are now primarily conducted outside mainland China. We have shifted our client focus away from the distribution of search engine marketing services in the PRC towards higher margin digital advertising opportunities, including influencer marketing services and providing marketing services in markets outside mainland China. We are also seeking to acquire and build teams with AI capabilities and proprietary intellectual properties that enable more accurate marketing solutions and cost-effective content creation so that we can better service our clients. With over 17 years of experience serving China’s SME sector, the Company has developed deep operational insight into how businesses acquire customers, generate revenue, and scale across markets. Building on this foundation,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Through these efforts, the Company aims to improve service efficiency and support revenue growth for our SME clients.</w:t>
      </w:r>
    </w:p>
    <w:p>
      <w:pPr>
        <w:spacing w:after="0" w:line="1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March 7, 2025, ChinaNet Investment Holding Limited (the “Purchaser”), a British Virgin Islands company and an indirect wholly-owned subsidiary of ZW Data Action Technologies Inc. acquired the 10,000 shares of Rahula Digital Media (HK) Limited, a Hong Kong company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For the year ended December 31, 2025, we licensed intellectual property acquired from Rahula to customers and generated approximately US$0.26 million in revenue from such IP licensing services. On November 24, 2025, we changed the corporate name of Rahula to Cnet Technology (HK) Limited.</w:t>
      </w:r>
    </w:p>
    <w:p>
      <w:pPr>
        <w:spacing w:after="0" w:line="188" w:lineRule="exact"/>
        <w:rPr>
          <w:sz w:val="20"/>
          <w:szCs w:val="20"/>
          <w:color w:val="auto"/>
        </w:rPr>
      </w:pPr>
    </w:p>
    <w:p>
      <w:pPr>
        <w:ind w:right="320" w:firstLine="486"/>
        <w:spacing w:after="0" w:line="256" w:lineRule="auto"/>
        <w:rPr>
          <w:sz w:val="20"/>
          <w:szCs w:val="20"/>
          <w:color w:val="auto"/>
        </w:rPr>
      </w:pPr>
      <w:r>
        <w:rPr>
          <w:rFonts w:ascii="Times New Roman" w:cs="Times New Roman" w:eastAsia="Times New Roman" w:hAnsi="Times New Roman"/>
          <w:sz w:val="18"/>
          <w:szCs w:val="18"/>
          <w:color w:val="auto"/>
        </w:rPr>
        <w:t>In 2018, we expanded into blockchain-related technologies and developed blockchain-powered applications, including BO!News and OMG, designed to facilitate business networking, reward point management, and blockchain-based contracting features. In 2021, we further developed the Blockchain Integrated Framework (“BIF”) platform, a SaaS-based infrastructure that provides services such as NFT management, membership management, and blockchain-enabled data storage and analysis for SMEs. In addition, for the year ended December 31, 2025, we also engaged in the purchase and sale of mobile applications with blockchain functionalities. For the year ended December 31, 2025, we generated approximately US$0.62 million in revenue from our blockchain-based services.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Titans</w:t>
      </w:r>
    </w:p>
    <w:p>
      <w:pPr>
        <w:spacing w:after="0" w:line="22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September 17, 2025, CNET Technology Limited (“CNET Technology”), a wholly-owned subsidiary of ZW Data Action Technologies Inc. (the “Company”) in the British Virgin Islands, entered into a purchase agreement (the “Acquisition Agreement 1”)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On October 21, 2025, CNET Technology obtained the Titans Equity Interests; however, as of the date of this report, the Company has not yet issued the 200,000 shares of common stock to the Sellers and the closing of the transaction has not yet taken place. As of the date of this report, the Company has not yet issued the 200,000 shares of common stock to the Sellers. Titans is principally engaged in providing digital marketing and advertising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Modest</w:t>
      </w:r>
    </w:p>
    <w:p>
      <w:pPr>
        <w:spacing w:after="0" w:line="227" w:lineRule="exact"/>
        <w:rPr>
          <w:sz w:val="20"/>
          <w:szCs w:val="20"/>
          <w:color w:val="auto"/>
        </w:rPr>
      </w:pPr>
    </w:p>
    <w:p>
      <w:pPr>
        <w:ind w:right="180" w:firstLine="486"/>
        <w:spacing w:after="0" w:line="276" w:lineRule="auto"/>
        <w:rPr>
          <w:sz w:val="20"/>
          <w:szCs w:val="20"/>
          <w:color w:val="auto"/>
        </w:rPr>
      </w:pPr>
      <w:r>
        <w:rPr>
          <w:rFonts w:ascii="Times New Roman" w:cs="Times New Roman" w:eastAsia="Times New Roman" w:hAnsi="Times New Roman"/>
          <w:sz w:val="17"/>
          <w:szCs w:val="17"/>
          <w:color w:val="auto"/>
        </w:rPr>
        <w:t>On October 28, 2025, CNET Technology entered into a purchase agreement (the “Acquisition Agreement”) with Fun Star Group INC., a British Virgin Islands company (the “Seller”) and Modest Attack Limited, a British Virgin Islands company (“Modest”), pursuant to which the Seller will sell its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9.9% equity interests in Modest (the “ Modest Equity Interests”) to CNET Technology. In consideration for the Modest Equity Interests, CNET Technology shall pay to the Seller $625,000 in cash and cause the Company to issue 150,000 shares of common stock of the Company, having a total value of $375,000 and valued at $2.50 per share, to the Seller. The closing of the acquisition is subject to customary terms and conditions as set forth in the Acquisition Agreement. Modest is principally engaged in providing consulting and technology development services related to the tokenization of real-world assets, including token economics design, blockchain platform development, ecosystem infrastructure support, and digital asset monitoring and management. As of the date of this report, the closing of the transaction has not yet taken 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August 23, September 5, September 6, September 25, 2024, we entered into a securities purchase agreement with each of four investors (including one member of our Board of Directors), respectively, pursuant to which each purchaser agreed to purchase 89,606 shares of common stock of the Company for an aggregate purchase price of US$268,818. The number of shares have been restated to reflect the effect of the 1-for-4 reverse stock split on September 30, 2024.</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January 2, January 3, January 15, January 17, 2025, we entered into a securities purchase agreement with each of four investors, respectively, pursuant to which each purchaser agreed to purchase 119,100 shares of common stock of the Company for an aggregate purchase price of US$250,110, representing a purchase price of US$2.1 per share. Subsequently, the securities purchase agreements signed on January 15 and January 17, 2025 have been terminated.</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On May 8, 2025, we entered into securities purchase agreements with two investors, pursuant to which each purchaser agreed to purchase 119,100 shares of common stock of the Company for an aggregate purchase price of US$250,110, representing a purchase price of US$2.1 per share. On May 13, 2025, we entered into a securities purchase agreement with an investor, pursuant to which the purchaser agreed to purchase 132,400 shares of common stock of the Company for an aggregate purchase price of US$278,040, representing a purchase price of US$2.1 per share.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 w:name="page14"/>
    <w:bookmarkEnd w:id="13"/>
    <w:p>
      <w:pPr>
        <w:ind w:firstLine="486"/>
        <w:spacing w:after="0" w:line="266" w:lineRule="auto"/>
        <w:rPr>
          <w:sz w:val="20"/>
          <w:szCs w:val="20"/>
          <w:color w:val="auto"/>
        </w:rPr>
      </w:pPr>
      <w:r>
        <w:rPr>
          <w:rFonts w:ascii="Times New Roman" w:cs="Times New Roman" w:eastAsia="Times New Roman" w:hAnsi="Times New Roman"/>
          <w:sz w:val="18"/>
          <w:szCs w:val="18"/>
          <w:color w:val="auto"/>
        </w:rPr>
        <w:t>The closing of each transaction shall take place on the date mutually agreed by the parties, subject to the closing conditions contained in each such agreement. On the date that the agreement was signed, each purchaser entered into a lock-up agreement with us, respectively, whereby the purchaser agreed not to transfer the shares until six-month anniversary of the date of each agreement.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the date of this annual report, the transactions contemplated by the securities purchase agreements as described above have all been completed.</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Nasdaq Deficiency</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March 26, 2026, we received a notice (the “Notice”) from Nasdaq indicating that our Common Stock, failed to comply with the $1.00 minimum bid price required for continued listing on The Nasdaq Capital Market under Nasdaq Listing Rule 5550(a)(2) (the “Bid Price Requirement”) based upon the closing bid price of the Common Stock for the previous 30 consecutive business days. The Nasdaq rules provided us a compliance period of 180 calendar days from the Notice, or until September 22, 2026, to regain compliance with Rule 5550(a)(2). If at any time before September 22, 2026, the bid price of the Common Stock closes at $1.00 per share or more for a minimum of 10 consecutive business days, Nasdaq will provide written confirmation that we have achieved compliance.</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the event we do not regain compliance, we may be eligible for additional time. To qualify, we will be required to meet the continued listing requirement for market value of publicly held shares and all other initial listing standards for The Nasdaq Capital Market, with the exception of the bid price requirement, and will need to provide written notice of our intention to cure the deficiency during the second compliance period, by effecting a reverse stock split, if necessary. If we meet these requirements, Nasdaq will inform us that we have been granted an additional 180 calendar days. However, if it appears to Nasdaq that we will not be able to cure the deficiency, or if we are otherwise not eligible, Nasdaq will provide notice that our securities will be subject to delisting.</w:t>
      </w:r>
    </w:p>
    <w:p>
      <w:pPr>
        <w:spacing w:after="0" w:line="18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If we do not regain compliance by September 22, 2026, Nasdaq will provide written notice to us that our securities are subject to delisting. At that time, we may appeal any such delisting determination to a Nasdaq hearings panel.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Subsidiaries, Variable Interest Entities (VIEs) and Ownership Interest Investment Affiliates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our corporate structure is set forth below:</w:t>
      </w:r>
    </w:p>
    <w:p>
      <w:pPr>
        <w:sectPr>
          <w:pgSz w:w="11900" w:h="16838" w:orient="portrait"/>
          <w:cols w:equalWidth="0" w:num="1">
            <w:col w:w="11220"/>
          </w:cols>
          <w:pgMar w:left="320" w:top="580"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465455</wp:posOffset>
            </wp:positionH>
            <wp:positionV relativeFrom="page">
              <wp:posOffset>88900</wp:posOffset>
            </wp:positionV>
            <wp:extent cx="6626225" cy="8572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Texas in April 2006 and re-domiciled to become a Nevada corporation in October 2006. On June 26, 2009, we consummated a share exchange transaction with China Net Online Media Group Limited (“China Net BVI”) (the “Share Exchange”). As a result of the Share Exchange, China Net BVI became a wholly owned subsidiary of ours and we are now a holding company, which, through certain contractual arrangements with operating companies in the People’s Republic of China (the “PRC”), is primarily engaged in providing Internet advertising, precision marketing, blockchain-based SaaS services, influencer marketing, digital advertising and marketing and intellectual property licensing services to SMEs.</w:t>
      </w:r>
    </w:p>
    <w:p>
      <w:pPr>
        <w:spacing w:after="0" w:line="183"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Effective October 14, 2020, we changed our corporate name from ChinaNet Online Holdings, Inc. to ZW Data Action Technologies Inc. We made the corporate name change because we believe that the new corporate name reflects more accurately our business activities, corporate development strategies and the current and future nature of our business operations. We believe that the name change is in our and our stockholders’ best interests. Our stockholders approved the corporate name change as part of our annual shareholder meeting held on October 12, 2020. As demonstrated in our organizational structure diagram above, we are not an operating company in China, but a Nevada holding company with no equity ownership in the VIEs. We conduct our operations in China through our PRC subsidiaries, the VIEs, with which we have entered into contractual arrangements, and their subsidiaries in China. The corporate name change did not have any impact on any of our VIE contractual agreements, as these agreements were entered into among Rise King Century Technology Development (Beijing) Co., Ltd., one of our indirectly wholly-owned PRC subsidiaries (the “WFOE”), the VIEs and their shareholders in the PRC. ZW Data Action Technologies Inc., our Nevada holding company, was not a party to any of these VIE contractual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Subsidiaries and our VIE Structure</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direct wholly owned subsidiary, China Net BVI, was incorporated in the British Virgin Islands on August 13, 2007. On April 11, 2008, China Net BVI became the parent holding company of a group of companies comprised of CNET Online Technology Co. Limited, a Hong Kong company (“China Net HK”), which established, and is the parent company of, Rise King Century Technology Development (Beijing) Co., Ltd., a wholly foreign-owned enterprise (“WFOE”) established in the PRC (“Rise King WFOE”). In October 2008, Rise King WFOE acquired control over Business Opportunity Online (Beijing) Network Technology Co., Ltd. (“Business Opportunity Online”) and Beijing CNET Online Advertising Co., Ltd. (“Beijing CNET Online”) (collectively the “PRC Operating Entities” or the “VIEs”) by entering into a series of contracts (the “Contractual Agreements” or the “VIE Agreements”), which enabled Rise King WFOE to operate the business and manage the affairs of the PRC Operating Entities.</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China has adopted a reformed system with respect to foreign investment administration, under which the Chinese government applies national treatment to foreign investors in terms of investment entry and the foreign investor needs to comply with the requirements as provided in The Special Administrative Measures for Foreign Investment (the “Negative List”). The Negative List will be issued by, amended or released upon approval by the State Council, from time to time. The Negative List will consist of a list of industries in which foreign investments are prohibited and a list of industries in which foreign investments are restricted. Foreign investors will be prohibited from making investments in prohibited industries, while foreign investments must satisfy certain conditions for investments in restricted industries, such as: there always a limitation on foreign investment and ownership. Foreign investments and domestic investments in industries outside the scope of the prohibited industries and restricted industries will be treated equally. The most recent version of the Negative List was promulgated jointly by the Ministry of Commerce (“MOFCOM”) and the National Development and Reform Commission (“NDRC”) on September 6, 2024, which came into effective on November 1, 2024 (the “2024 Negative List”).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 w:name="page17"/>
    <w:bookmarkEnd w:id="16"/>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The business of the PRC Operating Entities falls under the class of a business that provides Internet content or information services, a type of value-added telecommunication services, for which restrictions upon foreign ownership apply. The Negative List retains the restrictions on foreign ownership related to value-added telecommunication services. As a result, Rise King WFOE is not allowed to conduct the business the PRC Operating Entities companies are currently pursuing. Advertising business is open to foreign investment but used to require that the foreign investors of a WFOE should have been carrying out advertising business for over three years pursuant to the Foreign Investment Advertising Measures as amended by MOFCOM and the State Administration of Industry and Commerce (“SAIC”, currently known as the State Administration for Market Regulations, (“SAMR”)) on August 22, 2008, which was repealed on June 29, 2015. Before June 29, 2015, Rise King WFOE was not allowed to engage in the advertising business because its shareholder, China Net HK, did not meet such requirements. As a result, in order to have the power to direct activities of the PRC Operating Entities that most significantly impact the economic performance of the PRC Operating Entities and the obligation to absorb the losses and the right to receive benefits of the PRC Operating Entities that could potentially be significant to the PRC Operating Entities in a manner that does not violate the related PRC laws, Rise King WFOE executed the Contractual Agreements with the PRC Shareholders and each of the PRC Operating Entities. As such, Rise King WFOE</w:t>
      </w:r>
    </w:p>
    <w:p>
      <w:pPr>
        <w:spacing w:after="0" w:line="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is deemed to be the primary beneficiary of the PRC Operating Entities, or the VIEs, that are parties to the relevant VIE agreements, for accounting purposes only, which serves the purpose of consolidating the VIEs’ operating results in the preparation of our consolidated financial statements under the U.S.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the material terms of the VIE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Exclusive Business Cooperation Agreements:</w:t>
      </w:r>
    </w:p>
    <w:p>
      <w:pPr>
        <w:spacing w:after="0" w:line="227" w:lineRule="exact"/>
        <w:rPr>
          <w:sz w:val="20"/>
          <w:szCs w:val="20"/>
          <w:color w:val="auto"/>
        </w:rPr>
      </w:pPr>
    </w:p>
    <w:p>
      <w:pPr>
        <w:ind w:right="60" w:firstLine="486"/>
        <w:spacing w:after="0" w:line="272" w:lineRule="auto"/>
        <w:rPr>
          <w:sz w:val="20"/>
          <w:szCs w:val="20"/>
          <w:color w:val="auto"/>
        </w:rPr>
      </w:pPr>
      <w:r>
        <w:rPr>
          <w:rFonts w:ascii="Times New Roman" w:cs="Times New Roman" w:eastAsia="Times New Roman" w:hAnsi="Times New Roman"/>
          <w:sz w:val="17"/>
          <w:szCs w:val="17"/>
          <w:color w:val="auto"/>
        </w:rPr>
        <w:t>Pursuant to the Exclusive Business Cooperation Agreements entered into by and between Rise King WFOE and each of the PRC Operating Entities, Rise King WFOE has the exclusive right provide to the PRC Operating Entities complete technical support, business support and related consulting services during the term of these agreements, which includes but is not limited to technical services, business consultations, equipment or property leasing, marketing consultancy, system integration, product research and development, and system maintenance. In exchange for such services, each PRC Operating Entity has agreed to pay a service fee consisting of a management fee and a fee for services provided, to Rise King WFOE, which shall be determined by Rise King WFOE according to the following factors: the complexity and difficulty of the services, seniority of and time consumed by the employees, specific contents, scope and value of the services, market price of the same type of services, and operation conditions of the PRC Operating Entities. Each agreement shall remain effective unless terminated in accordance with the provisions thereof or terminated in writing by Rise King WFOE.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Exclusive Option Agreements:</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Under the Exclusive Option Agreements entered into by and among Rise King WFOE, each of the PRC Shareholders irrevocably granted to Rise King WFOE, or its designated person, an exclusive option to purchase, to the extent permitted by PRC law, a portion or all of their respective equity interest in any PRC Operating Entities for a purchase price of RMB10, or a purchase price to be adjusted to be in compliance with applicable PRC laws and regulations. Rise King WFOE, or its designated person, has the sole discretion to decide when to exercise the option, whether in part or in full. Each of these agreements shall become effective upon execution and remain effective until all equity interests held by the relevant PRC Shareholder(s) in the PRC Operating Entities have been transferred or assigned to Rise King WFOE and/or any other person designated by Rise King WFOE.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Pledge Agreements:</w:t>
      </w:r>
    </w:p>
    <w:p>
      <w:pPr>
        <w:spacing w:after="0" w:line="227"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Under the Equity Pledge Agreements entered into by and among Rise King WFOE, the PRC Operating Entities and each of the PRC Shareholders, the PRC Shareholders pledged all of their equity interests in the PRC Operating Entities to guarantee the PRC Operating Entities’ and the PRC Shareholders’ performance of the relevant obligations under the Exclusive Business Cooperation Agreements and other Contractual Agreements. If the PRC Operating Entities or any of the PRC Shareholders breaches its/his/her respective contractual obligations under these agreements, or upon the occurrence of one of the events regarded as an event of default under each such agreement, Rise King WFOE, as pledgee, will be entitled to certain rights, including the right to dispose of the pledged equity interests. The PRC Shareholders of the PRC Operating Entities agreed not to dispose of the pledged equity interests or take any actions that would prejudice Rise King WFOE's interest, and to notify Rise King WFOE of any events or upon receipt of any notices which may affect Rise King WFOE's interest in the pledge. Each of the equity pledge agreements will be valid until all the obligations under the Exclusive Business Cooperation Agreements and other Contractual Agreements have been fulfilled, including the service fee payments related to the Exclusive Business Cooperation Agreement are paid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Irrevocable Powers of Attorney:</w:t>
      </w:r>
    </w:p>
    <w:p>
      <w:pPr>
        <w:spacing w:after="0" w:line="22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PRC Shareholders have each executed an irrevocable power of attorney to appoint Rise King WFOE as their exclusive attorneys-in-fact to vote on their behalf on all PRC Operating Entities matters requiring shareholder approval. The term of each power of attorney is valid so long as such shareholder is a shareholder of the respective PRC Operating Entity.</w:t>
      </w:r>
    </w:p>
    <w:p>
      <w:pPr>
        <w:spacing w:after="0" w:line="17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a result of these Contractual Agreements, we through our wholly-owned subsidiary, Rise King WFOE, were granted with unconstrained decision making rights and power over key strategic and operational functions that would significantly impact the PRC Operating Entities or the VIEs’ economic performance, which includes, but is not limited to, the development and execution of the overall business strategy; important and material decision making; decision making for merger and acquisition targets and execution of merger and acquisition plans; business partnership strategy development and execution; government liaison; operation management and review; and human resources recruitment and compensation and incentive strategy development and execution. Rise King WFOE also provides comprehensive services to the VIEs for their daily operations, such as operational technical support, office administration technical support, accounting support, general administration support and technical support for products and services. As a result of the Exclusive Business Cooperation Agreements, the Equity Pledge Agreements and the Exclusive Option Agreements, Rise King WFOE has the obligation to absorb the losses and the right to receive benefits of the VIEs that could potentially be significant to the VIEs. Rise King WFOE is deemed to be the primary beneficiary of the PRC Operating Entities, or the VIEs, for accounting purposes only, which serves the purpose of consolidating the VIEs’ operating results in the preparation of our consolidated financial statements under the U.S. GAAP.</w:t>
      </w:r>
    </w:p>
    <w:p>
      <w:pPr>
        <w:spacing w:after="0" w:line="192"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However, there exist substantial uncertainties regarding regulations and their potential effect on our VIE structure and contractual arrangements. As of the date of this annual report, to the best knowledge of our company, our directors and management, our VIE agreements have not been tested in a court of law in the PRC and may not be effective in providing control over the VIEs as would direct equity ownership.</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Please refer to the discussion of uncertainties and risks in relation to our VIE Structure on page 12 under Business-Government Regulation contained in Item 1 and page 23 under Risk Factors-Risks Relating to Regulation of Our Business and to Our Structure contained in Item 1A of this Annual Report.</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December 31, 2025, besides China Net BVI, China Net HK and Rise King WFOE, as discussed above, we have five other indirectly wholly-owned subsidiaries, ChinaNet Investment Holding Ltd, a British Virgin Islands company (“ChinaNet Investment BVI”), Grandon Investments Limited, a British Virgin Islands company (“Grandon BVI”), Cnet Technology (HK) Limited (“Cnet Technology HK”), Shenzhen Shangye Consulting Services Co., Ltd. (“Shenzhen Shangye”), ChinaNet Online Holdings Co., Ltd., a PRC company (“ChinaNet Online Holdings”), ChinaNet Online (Guangdong) Holdings Co., Ltd., a PRC company (“ChinaNet Online Guangdong Holdings”), CNET Media (HK) Limited, a Hong Kong company (“CNET Media”), Cnet SEA Limited, a Samoa company (“Cnet SEA”) and CNET Technology Limited, a British Virgin Islands company (“CNET Technology”).</w:t>
      </w:r>
    </w:p>
    <w:p>
      <w:pPr>
        <w:spacing w:after="0" w:line="18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Grandon BVI beneficially owns a 7.69% equity interest in New Business Holdings Limited (“New Business BVI”). New Business BVI is primarily in the business of developing blockchain and e-sports platforms and operating IP data for e-sports and games with strategic partners. ChinaNet Online Guangdong Holdings beneficially owns a 9.09% equity interest in Shenzhen Global Best Products Import &amp; Export Co., Ltd. (“Global Best Products”). Global Best Products is primarily operating an online marketplace for health products retailing. The Business activities of Global Best Products are currently dormant. CNET Technology beneficially owns 19.6% of Titans Investment Asset Holdings Limited, a British Virgin Islands Company (“Titans”). Titans is primarily in the business of providing digital marketing and advertising services.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Our VIEs, VIEs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subsidiaries and other ownership interest investment affiliates</w:t>
      </w:r>
    </w:p>
    <w:p>
      <w:pPr>
        <w:spacing w:after="0" w:line="22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discussed above, through Rise King WFOE, we beneficially own two VIEs: Business Opportunities Online and Beijing CNET Online. Business Opportunities Online is primarily engaged in providing Internet advertising, precision marketing and related data service to the SMEs. The business activities of Beijing CNET Online are currently dormant.</w:t>
      </w:r>
    </w:p>
    <w:p>
      <w:pPr>
        <w:spacing w:after="0" w:line="176"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2025, Business Opportunity Online has the following directly or indirectly wholly-owned subsidiaries in the PRC: Beijing Chuang Fu Tian Xia Network Technology Co., Ltd. (“Beijing Chuang Fu Tian Xia”), Business Opportunity Online (Hubei) Network Technology Co., Ltd. (“Business Opportunity Online Hubei”), and ChinaNet Online (Guangdong) Technology Co., Ltd. (“ChinaNet Online Guangdong Technology”). As of December 31, 2025, ChinaNet Online Guangdong Technology has the following majority-owned subsidiary with 51% equity interest: Guangzhou Zhongtian Hexin Xibao Technology Co., Ltd. (“Zhongtian Hexin”). Except for ChinaNet Online Guangdong Technology, which entity is primarily focuses on developing and operating blockchain technology-based products and services, all other Business Opportunity Online’s wholly-owned subsidiaries are engaged in providing Internet advertising, precision marketing and related data service to the SMEs. As part of an ongoing strategic shift, the Company’s operations are now primarily conducted outside mainland China.</w:t>
      </w:r>
    </w:p>
    <w:p>
      <w:pPr>
        <w:spacing w:after="0" w:line="1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through our operating VIEs, we also beneficially own a 9.9% equity interest in Hunan Yong Fu Xiang Health Management Co., Ltd (“Yong Fu Xiang”) and a 9.9% equity interest in Wuhan Ju Liang Media Co., Ltd. (“Wuhan Ju Liang"), respectively. Yong Fu Xiang is primarily engaged in providing health care consultancy and health management services, and Wuhan Ju Liang is primarily engaged in providing livestream operations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Overview</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Overview of the Advertising Market</w:t>
      </w:r>
    </w:p>
    <w:p>
      <w:pPr>
        <w:spacing w:after="0" w:line="22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According to the “2025 Global Ad spend forecasts” published by Dentsu International, the global advertising spending is expected have grown by 5.5% in 2025. Looking forward in 2026, global advertising spend is forecasted to rise by approximately US$50 billion which represents a 5.1% year-over-year growth. The advertising market in 2025 is expected to retain a positive trajectory in all regions. Growth is driven by continual advertising innovation with algorithmically enabled ad spend estimated to reach 79% in 2027. Advertising spending in the Asia Pacific is expected to grow by 5.4% year-over-year to US$376.4 billion in 2026.</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9" w:name="page20"/>
    <w:bookmarkEnd w:id="19"/>
    <w:p>
      <w:pPr>
        <w:ind w:left="500"/>
        <w:spacing w:after="0"/>
        <w:rPr>
          <w:sz w:val="20"/>
          <w:szCs w:val="20"/>
          <w:color w:val="auto"/>
        </w:rPr>
      </w:pPr>
      <w:r>
        <w:rPr>
          <w:rFonts w:ascii="Times New Roman" w:cs="Times New Roman" w:eastAsia="Times New Roman" w:hAnsi="Times New Roman"/>
          <w:sz w:val="18"/>
          <w:szCs w:val="18"/>
          <w:i w:val="1"/>
          <w:iCs w:val="1"/>
          <w:color w:val="auto"/>
        </w:rPr>
        <w:t>Overview of the Internet Advertising Industry</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According to the “2025 Global Ad spend forecasts” published by Dentsu International, global ad-spending growth continues to be dominated by digital channels, which reached US$668.4 billion and achieved 67.6% of the total ad-spend in 2025, and is expected to further increase to 68.7% and 70% of the total ad-spending in 2026 and 2027, respectively. Algorithm driven advertising spend is forecasted to be 71.6% of total advertising spend by 2026. By 2028, algorithm driven advertising spend is projected to reach 76%, as artificial intelligence continues to impact the media and marketing ecosystem.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Principal Products and Services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Internet Advertising and Related Services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Founded in 2003 and 2011, respectively, 28.com and liansuo.com are two of the leading Internet portals for information relating to small business opportunities in China, and 28.com is one of the earliest entrants in this sector. In the past few years, we further developed and upgraded the system and tools of our advertising portals, including customer user interface, and integrated our mobile functions. Besides our advertising portals, we also have established solid partnership relations with key search engines in China which entitle us to the distribution of the right to use their search engine marketing service which allows our customers to invest in their online advertising and marketing campaign through multi-channel to maximize market exposure and effectiveness. Beginning in 2024 and continuing through the year ended December 31, 2025, the Company has wound down its operations related to the distribution of rights to use search engine marketing services. As part of an ongoing strategic shift, the Company’s operations are now primarily conducted outside mainland China.</w:t>
      </w:r>
    </w:p>
    <w:p>
      <w:pPr>
        <w:spacing w:after="0" w:line="1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20" w:name="page21"/>
    <w:bookmarkEnd w:id="20"/>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Our Internet advertising, precision marketing and related data services provide advertisers with tools to build sales channels directly in the form of franchisees, sales agents, distributors, and/or resellers, and have the following features which enable them to be attractive to the advertisers:</w:t>
      </w:r>
    </w:p>
    <w:p>
      <w:pPr>
        <w:spacing w:after="0" w:line="162" w:lineRule="exact"/>
        <w:rPr>
          <w:sz w:val="20"/>
          <w:szCs w:val="20"/>
          <w:color w:val="auto"/>
        </w:rPr>
      </w:pPr>
    </w:p>
    <w:p>
      <w:pPr>
        <w:ind w:left="980" w:right="760" w:hanging="486"/>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potential entrepreneurs interested in inexpensive franchise and other business ventures to find in-depth details about these businesses in various industries and business categories, with real-time and online assistance through an instant messenger;</w:t>
      </w:r>
    </w:p>
    <w:p>
      <w:pPr>
        <w:spacing w:after="0" w:line="161"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one-stop integrated Internet marketing and advertising services for SMEs by offering customized services and advertisement placement on various communication channels through intelligent based promotion systems;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effective sales leads information; and</w:t>
      </w:r>
    </w:p>
    <w:p>
      <w:pPr>
        <w:spacing w:after="0" w:line="252"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Bundling with advanced traffic generation techniques, search-engine optimization and marketing and other Internet advertising management tools to assist our clients with monitoring, analyzing and managing their advertising and data collected on our web portal.</w:t>
      </w:r>
    </w:p>
    <w:p>
      <w:pPr>
        <w:spacing w:after="0" w:line="16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For distribution of the right to use the search engine marketing service, revenue is recognized on a monthly basis and at a gross amount, based on the direct cost consumed through search engines for providing such services with a premium. During the year ended December 31, 2025, we have winded down our distribution of the right to use search engine marketing service in the PRC, after experiencing low to negative margins in this business segment over the past several years.</w:t>
      </w:r>
    </w:p>
    <w:p>
      <w:pPr>
        <w:spacing w:after="0" w:line="1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Internet advertising and related marketing services segment also includes our influencer marketing services. We offer influencer marketing services that help our clients enhance their visibility and reach through influencer generated content. We connect brands with the right voices to effectively promote their products and drive engagement. In addition, we provide tailored digital marketing services, including the management of online advertising campaigns across major search, social media, and mobile application platforms, as well as app store page optimization. We also offer marketing strategy and branding consultation services designed to help clients improve their market positioning and maximize the effectiveness of their digital marketing initiatives. Our Internet advertising and related marketing services segment operates outside of mainland China.</w:t>
      </w:r>
    </w:p>
    <w:p>
      <w:pPr>
        <w:spacing w:after="0" w:line="18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we achieved US$3.7 million and US$14.7 million of Internet advertising and related services revenues for the years ended December 31, 2025 and 2024, respectively, which accounted for 81% and 95.1% of our total revenues for the years ended December 31, 2025 and 2024, respectively. The overall gross profit margin of this business segment increased to 6.1% for the year ended December 31, 2025 from 3.7% for the year ended December 31, 2024. The decrease in revenue for this business segment is due to winding down our distribution of the right to use search engine marketing service business and focus on higher margin marketing services such as influencer marketing and marketing services in markets outside of mainland China.</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IP Services</w:t>
      </w:r>
    </w:p>
    <w:p>
      <w:pPr>
        <w:spacing w:after="0" w:line="22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On March 7, 2025, ChinaNet Investment Holding Limited (the “Purchaser”), a British Virgin Islands company and an indirect wholly-owned subsidiary of ZW Data Action Technologies Inc. acquired the 10,000 shares of Rahula ("Rahula").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For the year ended December 31, 2025, we licensed intellectual property acquired from Rahula and generated approximately US$0.26 million in revenue from such IP licensing services. On November 24, 2025, we changed the corporate name of Rahula to Cnet Technology (HK) Limited.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i w:val="1"/>
          <w:iCs w:val="1"/>
          <w:color w:val="auto"/>
        </w:rPr>
        <w:t>Blockchain-based SaaS services</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From early 2022, we started to introduce our blockchain-based SaaS services to our customers. The SaaS services were designated in providing one-stop blockchain-powered enterprise management solutions via our BIF platform in forms of unique NFT generations, data record, share and storage modules subscriptions etc. In addition, for the year ended December 31, 2025, we also engaged in the purchase and sale of mobile applications with blockchain functionalities. For the year ended December 31, 2025 and 2024, we generated approximately US$0.62 million and US$0.75 million in revenue from this business segment,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derived 81% of total net revenues from our Internet advertising and related services, compared with 95.1% for the year ended December 31, 2024.</w:t>
      </w:r>
    </w:p>
    <w:p>
      <w:pPr>
        <w:spacing w:after="0" w:line="16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employ experienced advertising sales people and provide in-house education and training to our sales people to ensure that they provide our current and prospective clients with comprehensive information about our services, the benefits of using our advertising, marketing and data services and relevant information regarding the advertising industry. We also marketed our advertising services from time to time by placing advertisements on television and other well-known portals in China, participating in domestic and international franchise exhibitions in China and other countries and acting as a sponsor to third-party programming and shows. For the year ended December 31, 2025, we did not incur any sales and marketing expenses compared to approximately US$0.21 million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suppliers are major search engines and/or their authorized agents, Internet gateways, other advertising resources suppliers, influencer agencies and technical service providers. For the year ended December 31, 2025, internet advertising resources purchased from two of our largest suppliers counted for approximately 81% of our total cost of revenues, in the aggregate, compared with approximately 51% from two of our largest suppliers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and 2025, we did not have any research and development expenses. However, we are strategically shifting our focus towards advancing our research and development efforts towards artificial intelligence and the development of proprietary intellectual property that will enable us to deliver more accurate marketing solutions and cost-efficient content creation for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we had sixty-eight software copyright certificates issued by the State Copyright Office of the PRC, including, but not limited to, software systems covering marketing management systems, monitor and management platforms on Internet advertising effects, analysis systems on Internet traffic statistics and Internet user behavior, analysis systems on log-based visit hotspot and browsing trails, analysis systems on mobile advertising platform, Customer Relationship Management (CRM) system, cloud-compute technology and blockchain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past, we have competed with other Internet advertising companies for business opportunities in China, including companies that also distribute the right to use the search engine marketing services provide by key search engines in China, such as: Zhong Shi Lian Dong Technology (Beijing) Co., Ltd., Shenzhen Jiu Xing Hu Dong Technology Co., Ltd., and Hao Shang Hui Media (Guangzhou) Co., Ltd, and companies that operate Internet advertising portals for business opportunities of the SMEs, such as 78.cn, zhaoshangbang.com and 1637.com etc.</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we shift our strategic focus to markets outside mainland China, we increasingly compete with international and regional marketing agencies and digital advertising service providers in those markets. We compete for clients primarily on the basis of network size and coverage, location, price, the range of services that we offer and our brand name. We compete for overall advertising spending with other alternative advertising media companies, such as wireless telecommunications, street furniture, billboards, frame and public transport advertising companies, and with traditional advertising media, such as television, newspapers, magazines and radio. We also face competition from influencer agencies, who may have established relationships with our potential clients.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PRC government imposes extensive controls and regulations over the media industry, including on internet, television, radio, newspapers, magazines, advertising, media content production, and the market research industry. This section summarizes the principal PRC regulations that are relevant to our lines of business.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the Value-added Telecommunication Services and Advertising Industry in China</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Investments in Value-added Telecommunication Services</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Negative List restricts foreign investments in value-added telecommunication services, including providing Internet information services (“ICP”). In accordance with the Regulations for the Administration of Foreign-Invested Telecommunications Enterprises (“FITE Regulations”), which were issued by the State Council of the PRC on December 11, 2001, became effective on January 1, 2002 and was subsequently amended on September 10, 2008, February 6, 2016, and March 29, 2022, respectively. The FITE Regulations stipulate that foreign invested telecommunications enterprises in the PRC (“FITEs”) must be established as Sino-foreign equity joint ventures. Under the FITE Regulations and in accordance with WTO-related agreements, the foreign party to a FITE engaging in value-added telecommunications services may hold up to 50% of the equity of the FITE, with certain exceptions as approved by the relevant government authorities, but no geographic restrictions on the FITE’s operations.</w:t>
      </w:r>
    </w:p>
    <w:p>
      <w:pPr>
        <w:spacing w:after="0" w:line="18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On April 8, 2024, the MIIT issued the Circular on Implementing the Pilot Programs Work to Expand the Opening-up of the Value-Added Telecommunications Services. The circular states that the MIIT will launch pilot programs to expand the opening-up of value-added telecommunications services and the pilot programs will be initially launched in several regions, including Beijing, Shanghai, Hainan and Shenzhen. In the regions approved to launch pilot programs, foreign ownership restrictions in certain value-added telecommunications business will be removed, including internet data centers services, content delivery networks services, internet access services, online data processing and transaction processing services, information publishing platforms and delivery services (excluding internet news information, online publishing, online audiovisual, and internet cultural operations) and information protection and processing services. Foreign invested enterprises conducting these services in approved pilot regions are required to obtain approval from the MIIT in accordance with applicable law and regulations.</w:t>
      </w:r>
    </w:p>
    <w:p>
      <w:pPr>
        <w:spacing w:after="0" w:line="192"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On July 13, 2006, the Notice of the Ministry of Information Industry on Intensifying the Administration of Foreign Investment in Value-added Telecommunications Services (the “MIIT Notice”), which reiterates certain provisions of the FITE Regulations, was issued. Under the MIIT Notice, if a FITE intends to invest in a PRC value-added telecommunications business, the FITE must be established and must apply for a telecommunications business license applicable to the business. Under the MIIT Notice, a domestic company that holds a license for the provision of Internet content services, or an ICP license, is considered to be a type of value-added telecommunications business in China, and is prohibited from leasing, transferring or selling the license to foreign investors in any form, and from providing any assistance, including providing resources, sites or facilities, to foreign investors to conduct value-added telecommunications businesses illegally in China. Trademarks and domain names that are used in the provision of Internet content services must be owned by the ICP license holder or its shareholders. On November 27, 2017, the MIIT promulgated the Notice Regulating the Use of Domain Names in the Provision of Internet-based Information Services, or the Domain Names Notice, which became effective on January 1, 2018. Under the Domain Names Notice, a domain name used by a provider of Internet-based information services must be registered and owned by the provider or, if the provider is an entity, by a shareholder or senior management of the provider.</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Investments in Advertising</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accordance with the Administrative Provision on Foreign Investment in the Advertising Industry, jointly promulgated by the SAMR and MOFCOM on August 22, 2008 and became effective on October 1, 2008, foreign investors can invest in PRC advertising companies either through wholly owned enterprises or joint ventures with Chinese parties. However, the foreign investor must have at least three years of direct operations outside China in the advertising industry as its core business. This requirement was reduced to two years if foreign investment in the advertising company is in the form of a joint venture. The Administrative Provision on Foreign Investment in the Advertising Industry was subsequently repealed by the SAMR and MOFCOM on June 29, 2015.</w:t>
      </w:r>
    </w:p>
    <w:p>
      <w:pPr>
        <w:spacing w:after="0" w:line="18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consideration of the above discussed restrictions on foreign investments in ICP and advertising business, our whole-owned subsidiary in China, Rise King WFOE, is ineligible to apply for the required licenses for providing Internet information services and was ineligible to apply for the required licenses for providing advertising services in China before June 29, 2015. Our ICP business and advertising business are operated by Business Opportunity Online in China. We do not have any equity interest in our PRC Operating Entities, but Rise King WFOE receives the economic benefits of the same through the Contractual Arrangements.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 w:name="page24"/>
    <w:bookmarkEnd w:id="23"/>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have been advised by our PRC counsel, as of the date hereof, our current contractual arrangements with our VIEs and their respective shareholders are valid, binding and enforceable. However, there exist substantial uncertainties regarding the application, interpretation and enforcement of current and future PRC laws and regulations and their potential effect on our corporate structure and contractual arrangements.</w:t>
      </w:r>
    </w:p>
    <w:p>
      <w:pPr>
        <w:spacing w:after="0" w:line="176" w:lineRule="exact"/>
        <w:rPr>
          <w:sz w:val="20"/>
          <w:szCs w:val="20"/>
          <w:color w:val="auto"/>
        </w:rPr>
      </w:pPr>
    </w:p>
    <w:p>
      <w:pPr>
        <w:ind w:right="100" w:firstLine="486"/>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of the PRC approved the Foreign Investment Law, which came into effect on January 1, 2020,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Business License and permits for ICP and Advertising Companies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PRC legal entities may commence operations only upon obtaining a business license from the relevant local branch of the SAMR.</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October 27, 1994, the Tenth Session of the Standing Committee of the Eighth National People’s Congress adopted the Advertising Law, which became effective on February 1, 1995, and was subsequently amended on April 24, 2015, on October 26, 2018, and on April 29, 2021. According to the Revised Advertising Law and its various implementing rules, companies engaging in advertising activities must obtain from the SAMR or its local branches a business license which specifically includes within its scope the operation of an advertising business. Companies conducting advertising activities without such a license may be subject to penalties, including fines, confiscation of advertising income and orders to cease advertising operations. The business license of an advertising company is valid for the duration of its existence, unless the license is suspended or revoked due to a violation of any relevant law or regulation. We have obtained such a business license from the local branches of the SAMR as required by existing PRC regulations. We do not expect to encounter any difficulties in maintaining the business license. However, if we seriously violate the relevant advertising laws and regulations, the SAMR or its local branches may revoke our business licenses.</w:t>
      </w:r>
    </w:p>
    <w:p>
      <w:pPr>
        <w:spacing w:after="0" w:line="18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September 25, 2000, the State Council issued the Measures for the Administration of Internet Information Services (“ICP Measures”), and was subsequently amended on January 8, 2011. Under the ICP Measures, entities that provide information to online users on the Internet, or ICPs, are obliged to obtain an operating permit from the “MIIT or its local branch. ICP permits are subject to annual inspection. Our PRC operating VIEs engaged in ICP business have obtained their respective ICP permits and comply with the annual inspection and other related provisions. We do not expect to encounter any difficulties in maintaining the ICP operating permits. However, if we seriously violate the relevant ICP laws and regulations, the SAMR or its local branches may revoke our permits.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i w:val="1"/>
          <w:iCs w:val="1"/>
          <w:color w:val="auto"/>
        </w:rPr>
        <w:t>Advertising Content</w:t>
      </w:r>
    </w:p>
    <w:p>
      <w:pPr>
        <w:spacing w:after="0" w:line="22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PRC advertising laws, rules and regulations set forth certain content requirements for advertisements in China including, among other things, prohibitions on false or misleading content, superlative wording, socially destabilizing content or content involving obscenities, superstition, violence, discrimination or infringement of the public interest. Advertisements for anesthetic, psychotropic, toxic or radioactive drugs are prohibited. There are also specific restrictions and requirements regarding advertisements that relate to matters such as patented products or processes, pharmaceutical products, medical procedures, alcohol, tobacco, and cosmetics. In addition, all advertisements relating to pharmaceuticals, medical instruments, agrochemicals and veterinary pharmaceuticals, together with any other advertisements which are subject to censorship by administrative authorities according to relevant laws or regulations, must be submitted to relevant authorities for content approval prior to dissemination.</w:t>
      </w:r>
    </w:p>
    <w:p>
      <w:pPr>
        <w:spacing w:after="0" w:line="18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Advertisers, advertising operators, including advertising agencies, and advertising distributors are required by PRC advertising laws and regulations to ensure that the content of the advertisements they prepare or distribute is true and in full compliance with applicable laws. In providing advertising services, advertising operators and advertising distributors must review the supporting documents provided by advertisers for advertisements and verify that the content of the advertisements complies with applicable PRC laws, rules and regulations. Prior to distributing advertisements that are subject to government censorship and approval, advertising distributors are obligated to verify that such censorship has been performed and approval has been obtained. Violation of these regulations may result in penalties, including fines, confiscation of advertising income, orders to cease dissemination of the advertisements and orders to publish an advertisement correcting the misleading information. In circumstances involving serious violations, the SAMR or its local branches may revoke violators’ licenses or permits for their advertising business operations. Furthermore, advertisers, advertising operators or advertising distributors may be subject to civil liability if they infringe on the legal rights and interests of third parties in the course of their advertising business.</w:t>
      </w:r>
    </w:p>
    <w:p>
      <w:pPr>
        <w:spacing w:after="0" w:line="19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On February 25, 2023, the SAMR published the Administrative Measures for Internet Advertising, or the Measures on Internet Advertising, which became effective on May 1, 2023 and replace the Interim Measures for the Administration of Internet Advertising released in 2016. The Measures on Internet Advertising require that online advertisements shall be identifiable so that it can be clearly identified by consumers as an advertisement. Users should be able to close pop-up advertisements using one button and provide that the pop-up advertisements shall not contain a countdown timer or require more than one click to close and shall not pop up more than once on the same page. In addition, the Measures on Internet Advertising provide that internet advertising operators and distributors shall establish a system for registering and reviewing advertisers and advertisements and verify and update such system on a regular basis. Platform operators that provide internet information services are required to inspect the content of advertisements displayed and published by using their information services and cooperate with market supervision administration authorities to inspect advertisements and provide information and evidence on alleged illegal advertisements requested by such authorities.</w:t>
      </w:r>
    </w:p>
    <w:p>
      <w:pPr>
        <w:spacing w:after="0" w:line="18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do not believe that advertisements containing content subject to restriction or censorship comprise a material portion of the advertisements displayed on our media network. However, there can be no assurance that each advertisement displayed on our network complies with relevant PRC advertising laws and regulations. Failure to comply with PRC laws and regulations relating to advertisement content restrictions governing the advertising industry in China may result in severe penalties.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Intellectual Property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 on Trademark</w:t>
      </w:r>
    </w:p>
    <w:p>
      <w:pPr>
        <w:spacing w:after="0" w:line="22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Trademark Law of the PRC was adopted at the 24th meeting of the Standing Committee of the Fifth National People’s Congress on August 23, 1982 and amended on February 22, 1993, October 27, 2001, August 30, 2013 and November April 23, 2019, respectively. The Trademark Law sets out the guidelines on administration of trademarks and protection of the exclusive rights of trademark owners. In order to enjoy an exclusive right to use a trademark, one must register the trademark with the Trademark Office of China National Intellectual Property Administration under the SAMR and obtain a registration certificate.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Regulation on Patents</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Patent Law of the PRC was adopted at the 4th Meeting of the Standing Committee of the Sixth National People’s Congress on March 12, 1984 and subsequently amended in 1992, 2000, 2008 and 2020. The Patent Law extends protection to three kinds of patents: invention patents, utility patents and design patents. According to the Implementing Regulations of the Patent Law, promulgated by the State Council of the PRC on June 15, 2001, and subsequently amended in December 28, 2002 and January 9, 2010, respectively, an invention patent refers to a new technical solution relating to a product, a process or improvement. When compared to existing technology, an invention patent has prominent substantive features and represents notable progress. A utility patent refers to any new technical solution relating to the shape, the structure, or their combination, of a product. Utility patents are granted for products only, not processes. A design patent (or industrial design) refers to any new design of the shape, pattern or color of a product or their combinations, which creates an aesthetic feeling and are suitable for industrial application. Inventors or designers must register with the State Intellectual Property Office to obtain patent protection. The term of protection is twenty years for invention patents and ten years for utility patents and design patents. Unauthorized use of patent constitutes an infringement and the patent holders are entitled to claims of damages, including royalties, to the extent reasonable, and lost profits.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8"/>
          <w:szCs w:val="18"/>
          <w:i w:val="1"/>
          <w:iCs w:val="1"/>
          <w:color w:val="auto"/>
        </w:rPr>
        <w:t>Regulation on Copyright</w:t>
      </w:r>
    </w:p>
    <w:p>
      <w:pPr>
        <w:spacing w:after="0" w:line="22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Copyright Law of the PRC was adopted at the 15th Meeting of the Standing Committee of the Seventh National People’s Congress on September 7, 1990 and amended on October 27, 2001, February 26, 2010, and November 11, 2020, respectively. Unlike patent and trademark protection, copyrighted works do not require registration for protection in China. However, copyright owners may wish to voluntarily register with the China Copyright Protection Center to establish evidence of ownership in the event enforcement actions become necessary. Consent from the copyright owners and payment of royalties are required for the use of copyrighted works. Copyrights of movies or other audio or video works usually expire fifty years after their first publication. The amended Copyright Law extends copyright protection to Internet activities, products disseminated over the Internet and software products. The amended Copyright Law also requires registration of the pledge of a copyright.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Currency Exchange</w:t>
      </w:r>
    </w:p>
    <w:p>
      <w:pPr>
        <w:spacing w:after="0" w:line="22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Pursuant to the Foreign Currency Administration Rules promulgated in 1996 and most recently amended in August 2008 and various regulations issued by SAFE and other relevant PRC government authorities, the Renminbi is freely convertible only to the extent of current account items, such as trade-related receipts and payments, interest and dividends. Capital account items, such as direct equity investments, loans and repatriation of investment, unless expressly exempted by laws and regulations, require the prior approval from SAFE or its local branch for conversion of the Renminbi into a foreign currency, such as U.S. dollars, and remittance of the foreign currency outside the PRC.</w:t>
      </w:r>
    </w:p>
    <w:p>
      <w:pPr>
        <w:spacing w:after="0" w:line="18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Payments for transactions that take place within the PRC must be made in Renminbi. Domestic companies or individuals can repatriate foreign currency payments received from abroad or deposit these payments abroad subject to applicable regulations that expressly require repatriation within certain period. Foreign-invested enterprises may retain foreign exchange in accounts with designated foreign exchange banks subject to a cap set by SAFE or its local branch. Foreign currencies received under current account items can be either retained or sold to financial institutions engaged in the foreign exchange settlement or sales business without prior approval from SAFE by complying with relevant regulations. Foreign exchange income under capital account can be retained or sold to financial institutions engaged in foreign exchange settlement and sales business, with prior approval from SAFE unless otherwise provided.</w:t>
      </w:r>
    </w:p>
    <w:p>
      <w:pPr>
        <w:spacing w:after="0" w:line="18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After a Notice on Further Simplifying and Improving Foreign Exchange Administration Policy on Direct Investment, or SAFE Notice 13, became effective on June 1, 2015, instead of applying for approvals regarding foreign exchange registrations of foreign direct investment and overseas direct investment from SAFE, entities and individuals will be required to apply for such foreign exchange registrations from qualified banks. The qualified banks, under the supervision of SAFE, directly examine the applications and conduct the registration. On October 23, 2019, SAFE issued the Circular on Further Promoting Cross-border Trade and Investment Facilitation, or SAFE Circular 28. Among others, SAFE Circular 28 relaxes the prior restrictions and allows the foreign-invested enterprises without equity investment as in their approved business scope to use their capital obtained from foreign exchange settlement to make domestic equity investment as long as the investments are real and in compliance with the foreign investment-related laws and regulations. In addition, SAFE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9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which releases new foreign exchange management policies and revises some rules under the SAFE Circular 28. According to the previous notice, qualified small and medium-sized high-tech enterprises, enterprises that specialize in niche sectors, command a high market share and have strong innovative capacity and core technologies and technology-based enterprises may independently borrow foreign debts within the limit of the equivalent of USD5 million or 10 million (depend on its jurisdiction).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dividends paid by PRC operating subsidiaries and VIEs include the Company Law of the PRC (2023), and the Foreign Investment Law and its Implementation Rules (2019). Under these laws and regulations, PRC subsidiaries and VIEs, including wholly owned foreign enterprises, or WFOEs, and domestic companies in China, may pay dividends only out of their accumulated profits, if any, determined in accordance with PRC accounting standards and regulations. In addition, its PRC subsidiaries and VIEs, including WFOEs and domestic companies, are required to set aside at least 10% of their after-tax profit based on PRC accounting standards each year to their statutory capital reserve fund until the cumulative amount of such reserve reaches 50% of their respective registered capital. These reserves are not distributable as cash dividends.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On March 16, 2007, the Fifth Session of the Tenth National People’s Congress of PRC passed the Enterprise Income Tax Law of the People’s Republic of China, or EIT Law, which became effective on January 1, 2008 and was subsequently amended on February 24, 2017 and December 29, 2018, respectively. On November 28, 2007, the State Council at the 197th Executive Meeting passed the Regulation on the Implementation of the Income Tax Law of the People’s Republic of China, which became effective on January 1, 2008 and was subsequently amended on April 23, 2019. The EIT Law adopted a uniform tax rate of 25% for all enterprises (including foreign-invested enterprises).</w:t>
      </w:r>
    </w:p>
    <w:p>
      <w:pPr>
        <w:spacing w:after="0" w:line="1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Under the EIT Law, enterprises are classified as either “resident enterprises” or “non-resident enterprises.” Pursuant to the EIT Law and the Implementation Rules, enterprises established under PRC laws, or enterprises established outside China whose “de facto management bodies” are located in China, are considered “resident enterprises” and subject to the uniform 25% enterprise income tax rate for their global income. According to the Implementation Rules, “de facto management body” refers to a managing body that in practice exercises overall management and control over the production and business, personnel, accounting and assets of an enterprise. Our management is currently based in China and is expected to remain in China in the future. In addition, although the EIT Law provides that “dividends, bonuses and other equity investment proceeds between qualified resident enterprises” is exempted income, and the Implementation Rules refer to “dividends, bonuses and other equity investment proceeds between qualified resident enterprises” as the investment proceeds obtained by a resident enterprise from its direct investment in another resident enterprise, however, it is unclear whether our circumstance is eligible for exemption.</w:t>
      </w:r>
    </w:p>
    <w:p>
      <w:pPr>
        <w:spacing w:after="0" w:line="18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Furthermore, the EIT Law and Implementation Rules provide that the “non-resident enterprises” are subject to the enterprise income tax rate of 10% on their income sourced from China, if such “non-resident enterprises” (i) do not have establishments or premises of business in China or (ii) have establishments or premises of business in China, but the relevant income does not have actual connection with their establishments or premises of business in China. Such income tax may be exempted or reduced by the State Council of the PRC or pursuant to a tax treaty between China and the jurisdictions in which its non-PRC shareholders reside. Under the Double Tax Avoidance Arrangement between Hong Kong and Mainland China, if the Hong Kong resident enterprise owns more than 25% of the equity interest in a company in China, the 10% withholding tax on the dividends the Hong Kong resident enterprise received from such company in China is reduced to 5%. If China Net HK is considered to be a Hong Kong resident enterprise under the Double Tax Avoidance Arrangement and is considered to be a “non-resident enterprise” under the EIT Law, the dividends paid to us by Rise King WFOE may be subject to the reduced income tax rate of 5% under the Double Tax Avoidance Arrangement. However, based on the Notice on Certain Issues with Respect to the Enforcement of Dividend Provisions in Tax Treaties, issued on February 20, 2009 by the State Administration of Taxation, if the relevant PRC tax authorities determine, in their discretion, that a company benefits from such reduced income tax rate due to a structure or arrangement that is primarily tax-driven, such PRC tax authorities may adjust the preferential tax treatment.</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Provisions Regarding Overseas Listing and Mergers and Acquisitions of Domestic Enterprises by Foreign Investors</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CSRC, MOFCOM, SAT, SASAC, SAMR and SAFE, jointly promulgated the M&amp;A Rules, which became effective on September 8, 2006, and was subsequently amended on June 22, 2009, to regulate foreign investment in PRC domestic enterprises. The M&amp;A Rules provide that the MOFCOM must be notified in advance of any change-of-control transaction in which a foreign investor takes control of a PRC domestic enterprise and any of the following situations exist: (i) the transaction involves an important industry in China; (ii) the transaction may affect national “economic security”; or (iii) the PRC domestic enterprise has a well-known trademark or historical Chinese trade name in China. The M&amp;A Rules also contain a provision requiring offshore SPVs formed for the purpose of the overseas listing of equity interests in PRC companies and controlled directly or indirectly by PRC companies or individuals, to obtain the approval of the CSRC prior to publicly listing their securities on an overseas stock exchange. On September 21, 2006, the CSRC issued a clarification that sets forth the criteria and procedures for obtaining any required approval from the CSRC. In December 2020, the NDRC and the MOFCOM promulgated the Measures for the Security Review of Foreign Investment, which came into effect on January 18, 2021.</w:t>
      </w:r>
    </w:p>
    <w:p>
      <w:pPr>
        <w:spacing w:after="0" w:line="19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On July 6, 2021, the State Council and General Office of the CPC Central Committee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80"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As a follow-up, on February 17, 2023, the CSRC, as approved by the State Council, released the Trial Administrative Measures of Overseas Securities Offering and Listing by Domestic Companies and a series of associated regulatory guidelines (collectively, the “Filing Rules”), which came into effect from March 31, 2023. The Filing Rules establish a new filing-based regime to regulate overseas offerings of stocks, depository receipts, convertible corporate bond, or other equity securities, and overseas listing of these securities for trading, by domestic companies. According to the Filing Rules, domestic companies that directly or indirectly offer or list their securities in an overseas market should file with the CSRC. Specifically, the examination and determination of an indirect offering and listing will be conducted on a substance-over-form basis, and an offering and listing should be considered as an indirect overseas offering and listing by a domestic company if the issuer meets both of the following conditions: (i) any of the revenue, profits, total assets or net assets of such domestic company in the most recent financial year account for more than 50% of the corresponding data in the issuer’s audited consolidated financial statements for the same period; and (ii) the majority of its business operations are conducted in mainland China or its principal place of business is located in the mainland China, or the majority of senior management in charge of business operations are Chinese citizens or have domicile in the mainland China. According to the Filing Rules, the issuer or its affiliated domestic company, as the case may be, must file with the CSRC for its initial public offering, follow-on offering and other equivalent offering activities. Particularly, a listed company like us is required to submit the filing with respect to its follow-on offerings, issuance of convertible corporate bonds and exchangeable bonds, and other equivalent offering activities, within a specific time frame, which is within three business days after completion of such follow-on offering, issuance of convertible corporate bonds and exchangeable bonds, and other equivalent offering activities. Failure to comply with the filing requirements may result in an order of rectification, a warning and fines to the relevant domestic companies, and a warning and fines on the controlling shareholder, the actual controller and other responsible persons. The Filing Rules also sets forth certain regulatory red lines for overseas offerings and listings by domestic enterprises and additional reporting obligations for listed companies in the case of material changes.</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 Q&amp;A released on the CSRC’s official website, the respondent CSRC official stated that the domestic companies which have listed their securities in the overseas market as of March 31, 2023 will be regarded as the existing overseas listed companies, which will not be required to file with the CSRC until they conduct any new offerings subject to the filing requirements under the Filing Rules. The Q&amp;A also addressed the contractual arrangements and pointed out that, as for companies with contractual arrangements seeking overseas offering, the CSRC will solicit opinions from relevant regulatory authorities and complete the filing procedures for companies with contractual arrangements complying with relevant laws and regulations. If we fail to file with the CSRC in a timely manner or at all, for any future offering (including, among others, follow-on offerings, issuance of convertible corporate bonds and exchangeable bonds, and other equivalent offering activities) pursuant to the Filing Rules due to our contractual arrangements, our ability to raise or utilize funds could be materially and adversely affected, and we may even need to unwind our contractual arrangements or restructure our business operations to rectify the failure to complete the filings. However, as the Filing Rules were relatively new, there remain substantial uncertainties as to their interpretation, application, and enforcement and how they will affect our operations and our future financing.</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ind w:firstLine="486"/>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relevant governmental authorities, promulgated the revised Provisions on Strengthening Confidentiality and Archives Management of Overseas Securities Issuance and Listing by Domestic Enterprises (the “Confidentiality and Archives Management Provisions”), which took effect on March 31, 2023. According to the Confidentiality and Archives Management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Confidentiality and Archives Management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Profiles</w:t>
      </w:r>
    </w:p>
    <w:p>
      <w:pPr>
        <w:spacing w:after="0" w:line="225"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we had 13 full-time employees, 2 of whom are in operations and support and 11 of whom are in management and administration.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compliant with local prevailing wage, contractor licensing and insurance regulations, and have good relations with our employees.</w:t>
      </w:r>
    </w:p>
    <w:p>
      <w:pPr>
        <w:spacing w:after="0" w:line="22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As required by PRC and Hong Kong regulations, we participate in various employee benefit plans that are organized by municipal and provincial governments, including pension, work-related injury benefits, maternity insurance, medical and unemployment benefit plans. We are required under PRC and Hong Kong laws to make contributions to the employee benefit plans at specified percentages of the salaries, bonuses and certain allowances of our employees, up to a maximum amount specified by the local government from time to time. Members of the retirement plan are entitled to a pension equal to a fixed proportion of the salary prevailing at the member’s retirement date.</w:t>
      </w:r>
    </w:p>
    <w:p>
      <w:pPr>
        <w:spacing w:after="0" w:line="183" w:lineRule="exact"/>
        <w:rPr>
          <w:sz w:val="20"/>
          <w:szCs w:val="20"/>
          <w:color w:val="auto"/>
        </w:rPr>
      </w:pPr>
    </w:p>
    <w:p>
      <w:pPr>
        <w:ind w:right="100" w:firstLine="486"/>
        <w:spacing w:after="0" w:line="281" w:lineRule="auto"/>
        <w:rPr>
          <w:sz w:val="20"/>
          <w:szCs w:val="20"/>
          <w:color w:val="auto"/>
        </w:rPr>
      </w:pPr>
      <w:r>
        <w:rPr>
          <w:rFonts w:ascii="Times New Roman" w:cs="Times New Roman" w:eastAsia="Times New Roman" w:hAnsi="Times New Roman"/>
          <w:sz w:val="17"/>
          <w:szCs w:val="17"/>
          <w:color w:val="auto"/>
        </w:rPr>
        <w:t>Generally, we enter into a standard employment contract with our officers and managers for a set period of years and a standard employment contract with other employees for a set period of years. According to these contracts, all of our employees are prohibited from engaging in any activities that compete with our business during the period of their employment with us. Furthermore, the employment contracts with officers or managers include a covenant that prohibits officers or managers from engaging in any activities that compete with our business for two years after the period of employment.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8/F. 29 Des Voeux Road Central, Central, Hong Kong. Our telephone number at this address is +852 2669-8078 and our fax number is +852 2669-8178. For more information, see our corporate website at investor.chinanet-online.com.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 this Form 10-K, readers should carefully consider the following important factors. These factors, among others, in some cases have affected, and in the future could affect, our financial condition and results of operations and could cause our future results to differ materially from those expressed or implied in any forward-looking statements that appear in this annual report on Form 10-K or that we have made or will make elsewhere.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We are susceptible to general economic conditions, natural catastrophic events and public health crises, and a potential downturn in advertising and marketing spending by advertisers could adversely affect our operating results in the near future.</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business is subject to the impact of natural catastrophic events, such as earthquakes, or floods, public health crisis, such as disease outbreaks, epidemics, or pandemics in China, and all these could result in a decrease or sharp downturn of economies, including our markets and business locations in the current and future periods. We may experience impact from quarantines, market downturns and changes in customer behavior related to pandemic fears and impact on our workforce. We may experience a decrease in revenue due to disease outbreaks, epidemics or pandemics. Disease outbreaks, epidemics or pandemics can affect a significant number of our workforce employed in our operations, and as a result may cause slow resumption of operations and we may experience delays or the inability to delivery our service on a timely basis. In addition, one or more of our customers, partners, service providers or suppliers may experience financial distress, delayed or defaults on payment, file for bankruptcy protection, sharp diminishing of business, or suffer disruptions in their business due to the outbreak.</w:t>
      </w:r>
    </w:p>
    <w:p>
      <w:pPr>
        <w:spacing w:after="0" w:line="19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customers continue to face a challenging macroeconomic environment in their respective industries and in the general economy. The challenging macroeconomic environment in the PRC could cause decreases or delays in advertising spending and reduce and/or negatively impact our short-term ability to grow our revenues which will have a material adverse impact on our business, results of operations and financial condition in the short run. Any decreased collectability of accounts receivable, bankruptcy of small and medium businesses, or early termination of agreements due to deterioration in economic conditions could also negatively impact our results of operations.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and may expend significant resources in defending against, government actions and civil suits based on the content and services we provide through our Internet advertising and data service platforms.</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PRC advertising laws and regulations require advertisers, advertising operators and advertising distributors, including businesses such as ours, to ensure that the content of the advertisements they prepare or distribute is fair, accurate and in full compliance with applicable laws, rules and regulations. Although we comply with the requirements by reviewing the business licenses and the profiles of our clients, clients may post advertisements about business opportunities that are not legitimate and over which we have no control. On April 24, 2015, the Fourteenth Session of the Standing Committee of the Twelfth National People’s Congress adopted the Revised Advertising Law, which became effective on September 1, 2015 and was further amended on October 26, 2018 and April 29, 2021. The Revised Advertising Law further established the advertisement standards and restrictions of certain industries, such as: medical instruments, education and training, franchise and investments; defined separate standards and restrictions for Internet advertisements and reinforced the regulatory responsibilities of the related competent authorities. We cannot assure you that our operating entities will be fully in compliance with these new rules during normal course of business. Violation of these laws, rules or regulations may result in penalties, including fines, confiscation of advertising fees, orders to cease dissemination of the advertisements and orders to publish an advertisement correcting the misleading information. In circumstances involving serious violations, the PRC government may revoke a violator’s license for its advertising business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We operate in the advertising and data service industry, which is particularly sensitive to changes in economic conditions and advertising trends.</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Advertising and data service spending by our clients is particularly sensitive to changes in general economic conditions. For example, advertising and data service expenditures typically decrease during periods of economic downturn. Advertisers may reduce the amount of money they spend to advertise and obtain precision marketing data and data analysis on/from our advertising and data service platforms for a number of reasons, including:</w:t>
      </w:r>
    </w:p>
    <w:p>
      <w:pPr>
        <w:spacing w:after="0" w:line="176"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economic conditions;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economic conditions in the particular cities where we conduct business;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to shift advertising and marketing expenditures to other available less expensive advertising media;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advertising and marketing spending in general.</w:t>
      </w:r>
    </w:p>
    <w:p>
      <w:pPr>
        <w:spacing w:after="0" w:line="252"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A decrease in the demand for advertising media in general, and for our advertising and marketing services in particular, would materially and adversely affect our ability to generate revenues, and have a material adverse effect on our financial condition and results of operations.</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face significant competition, and if we do not compete successfully against new and existing competitors, we may lose our market share, and our profitability may be adversely affected.</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Increased competition could reduce our profitability and result in a loss of market share. Some of our existing and potential competitors may have competitive advantages, such as significantly greater financial, marketing or other resources, and may successfully mimic and adopt our business models. Moreover, increased competition will provide advertisers with a wider range of media and advertising and marketing service alternatives, which could lead to lower prices and decreased revenues, gross margins and profits. We cannot assure you that we will be able to successfully compete against new or existing competitors.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employees are essential to growing our business.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Key employees, such as our chief executive officer, head of each of our business units, and head of our research and development team are essential to our ability to continue to grow our business. They have established relationships within the industries in which we operate. If they were to leave us, our growth strategy might be hindered, which could limit our ability to increase revenue.</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we face competition for attracting skilled personnel with increasing labor cost. If we fail to attract and retain qualified personnel to meet current and future needs, this could slow our ability to grow our business, which could result in a decrease in market share.</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additional capital and we may not be able to obtain it at acceptable terms, or at all, which could adversely affect our liquidity and financial position.</w:t>
      </w:r>
    </w:p>
    <w:p>
      <w:pPr>
        <w:spacing w:after="0" w:line="15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may need additional cash resources due to changed business conditions or other future developments. If these sources are insufficient to satisfy our cash requirements, we may seek to sell additional equity or debt securities or obtain a credit facility. The incurrence of indebtedness would result in increased debt service obligations and could result in operating and financing covenants that would restrict our operations and liquidity.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1" w:name="page32"/>
    <w:bookmarkEnd w:id="31"/>
    <w:p>
      <w:pPr>
        <w:ind w:left="500"/>
        <w:spacing w:after="0"/>
        <w:rPr>
          <w:sz w:val="20"/>
          <w:szCs w:val="20"/>
          <w:color w:val="auto"/>
        </w:rPr>
      </w:pPr>
      <w:r>
        <w:rPr>
          <w:rFonts w:ascii="Times New Roman" w:cs="Times New Roman" w:eastAsia="Times New Roman" w:hAnsi="Times New Roman"/>
          <w:sz w:val="18"/>
          <w:szCs w:val="18"/>
          <w:color w:val="auto"/>
        </w:rPr>
        <w:t>Our ability to obtain additional capital on acceptable terms is subject to a variety of uncertainties, including:</w:t>
      </w:r>
    </w:p>
    <w:p>
      <w:pPr>
        <w:spacing w:after="0" w:line="225"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perception of, and demand for, securities of alternative advertising media companies;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U.S. and other capital markets in which we may seek to raise funds;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cash flow;</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regulation of foreign investment in advertising service companies in China;</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conditions in China;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policies relating to foreign currency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protect our intellectual property rights could have a negative impact on our business.</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believe our brand, trade name, copyrights, domain name and other intellectual property are critical to our success. The success of our business depends in part upon our continued ability to use our brand, trade names and copyrights to further develop and increase brand awareness. The infringement of our trade names and copyrights could diminish the value of our brand and its market acceptance, competitive advantages or goodwill. In addition, our information and operational systems, which have not been patented or otherwise registered as our property, are a key component of our competitive advantage and our growth strategy.</w:t>
      </w:r>
    </w:p>
    <w:p>
      <w:pPr>
        <w:spacing w:after="0" w:line="18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Monitoring and preventing the unauthorized use of our intellectual property is difficult. The measures we take to protect our brand, trade names, copyrights, domain name and other intellectual property rights may not be adequate to prevent their unauthorized use by third parties. Furthermore, application of laws governing intellectual property rights in China and abroad is uncertain and evolving, and could involve substantial risks to us. If we are unable to adequately protect our brand, trade names, copyrights, domain name and other intellectual property rights, we may lose these rights and our business may suffer materially. Further, unauthorized use of our brand, domain name or trade names could cause brand confusion among advertisers and harm our reputation. If our brand recognition decreases, we may lose advertisers and fail in our expansion strategies, and our business, results of operations, financial condition and prospects could be materially and adversely affected.</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intellectual property infringement claims or other allegations, which may materially and adversely affect our business, financial condition and prospects.</w:t>
      </w:r>
    </w:p>
    <w:p>
      <w:pPr>
        <w:spacing w:after="0" w:line="15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cannot be certain that we do not or will not infringe patents, copyrights, trademarks or other intellectual property rights held by external parties. From time to time, we may be subject to legal proceedings and claims alleging infringement of patents, trademarks, copyrights or other intellectual property rights, or misappropriation of creative ideas or formats, or other infringement of proprietary, which may materially and adversely affect our business, financial condition and prospects.</w:t>
      </w:r>
    </w:p>
    <w:p>
      <w:pPr>
        <w:spacing w:after="0" w:line="1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computer software and hardware systems in managing our operations, the failure of which could adversely affect our business, financial condition and results of operations.</w:t>
      </w:r>
    </w:p>
    <w:p>
      <w:pPr>
        <w:spacing w:after="0" w:line="15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are dependent upon our computer software and hardware systems in supporting our network and managing and monitoring programs on the network. In addition, we rely on our computer hardware for the storage, delivery and transmission of the data on our network. Any system failure that interrupts the input, retrieval and transmission of data or increases the service time could disrupt our normal operation. Any failure in our computer software or hardware systems could decrease our revenues and harm our relationships with advertisers and consumers, which in turn could have a material adverse effect on our business, financial condition and results of operations.</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Any failure or interruptions in the internet infrastructure, bandwidth providers, data center providers, other third parties or our own systems for providing our solutions to customers could negatively impact our business.</w:t>
      </w:r>
    </w:p>
    <w:p>
      <w:pPr>
        <w:spacing w:after="0" w:line="15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Our ability to deliver our solutions is dependent on the development and maintenance of the internet and other telecommunications services by third parties. Such services include maintenance of a reliable network backbone with the necessary speed, data capacity and security for providing reliable internet access and services and reliable telecommunications systems that connect our operations. While our solutions are designed to operate without interruption, we may experience interruptions and delays in services and availability from time to time. We rely on systems as well as third-party vendors, including data center, bandwidth, and telecommunications equipment providers, to provide our solutions. We do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our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Privacy and data security concerns, laws, or other regulations could expose us to liability or impair our operations.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Privacy and data security are rapidly evolving areas of concern and regulation. Changes in laws restricting or otherwise governing data and transfer thereof could be difficult to comply with, result in increased costs, or impair our operations. Security measures that we implement may fail due to third-party attack, employee error or sabotage, or other causes. Hacking techniques change frequently and therefore can be difficult to prevent. In addition, service providers could suffer security breaches or data losses that affect our customers’ information. A security breach could damage our reputation, resulting in loss of customers or reluctance of potential customers to try our platform, or civil or criminal liability.</w:t>
      </w:r>
    </w:p>
    <w:p>
      <w:pPr>
        <w:spacing w:after="0" w:line="183"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PRC Cyber Security Law, effective on June 1, 2017 and subsequently amended on October 28, 2025, stipulates that a network operator must adopt technical measures and other necessary measures in accordance with applicable laws and regulations as well as compulsory national and industrial standards to safeguard the safety and stability of network operations, effectively respond to network security incidents, prevent illegal and criminal activities, maintain the integrity, confidentiality and availability of network data.</w:t>
      </w:r>
    </w:p>
    <w:p>
      <w:pPr>
        <w:spacing w:after="0" w:line="1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Data Security Law, which took effect on September 1, 2021. The Data Security Law establishes a classified and tiered system for data protection based on the level of importance of the data in the economic and social development, as well as the level of danger of the data imposed on national security, public interests, or the legal interests of individuals and organizations upon any manipulation, destruction, leakage, illegal acquisition or illegal usage. Furthermore, it is specified that the Cyber Security Law applies to the security administration of the cross-border transfer of important data collected and generated by operators of “critical information infrastructure” during their operations in China.</w:t>
      </w:r>
    </w:p>
    <w:p>
      <w:pPr>
        <w:spacing w:after="0" w:line="18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On August 20, 2021, the Standing Committee of the National People’s Congress promulgated the Personal Information Protection Law of the People’s Republic of China (the “Personal Information Protection Law”), effective from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bear responsibilities for their personal information handling activities, and shall adopt necessary measures to safeguard the security of the personal information they handle. Otherwise, the entities handling personal information could be ordered to correct, or suspend or terminate the provision of services, and face confiscation of illegal income, fines or other penalties.</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On September 24, 2024, the CAC published the Measures on Network Data Security Management (the “Measures for Network Data Security”), which provides that network data processors conduct network data processing activities that affects or may possibly affect national security must conduct national security review in accordance with relevant laws and regulations. In addition, network data processors processing personal information of over 10 million individuals shall fulfill certain requirements for processing important data and require network data processors to take certain precautionary measures, such as identifying important data and conducting annual risk assessment. Furthermore, the Measures for Network Data Security allow network data processors to provide personal information overseas only if it is strictly necessary for fulfilling statutory obligations. The Measures for Network Data Security also establish certain obligations of online platform service providers, including offering users an option to turn off personalized recommendations. However, the Measures for Network Data Security remain unclear on how it will be interpreted and implemented by the relevant PRC governmental authorities.</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3" w:name="page34"/>
    <w:bookmarkEnd w:id="33"/>
    <w:p>
      <w:pPr>
        <w:ind w:firstLine="486"/>
        <w:spacing w:after="0" w:line="252"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Cross-border Data Transfer, which became effective on September 1, 2022. In accordance with these measures, data processors will be subject to security assessment conducted by the CAC prior to any cross-border transfer of data if the transfer involves (i) important data; (ii) personal information transferred overseas by operators of critical information infrastructure or a data processor that has processed personal data of more than one million persons; (iii) personal information transferred overseas by a data processor who has already provided personal data of 100,000 persons or sensitive personal data of 10,000 persons overseas since January 1 of previous year; or (iv) other circumstances as required by the CAC. Furthermore, data processors are required to conduct self-assessment on the risks of cross-border data transfer prior to their applying for the security assessment and focus on assessment of the following significant matters, including, among others: (i) the legality and necessity of the purpose, scope and method of cross-border data transfer; (ii) the scale, scope, type and sensitivity of data transferred overseas, and risks to the national security, public interests or legitimate rights of individuals or organizations caused by such cross-border data transfer;</w:t>
      </w:r>
    </w:p>
    <w:p>
      <w:pPr>
        <w:spacing w:after="0" w:line="6" w:lineRule="exact"/>
        <w:rPr>
          <w:sz w:val="20"/>
          <w:szCs w:val="20"/>
          <w:color w:val="auto"/>
        </w:rPr>
      </w:pPr>
    </w:p>
    <w:p>
      <w:pPr>
        <w:ind w:right="60" w:firstLine="8"/>
        <w:spacing w:after="0" w:line="25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and obligations that the overseas recipient of such data promises to undertake, and whether such overseas recipient’s management and technical measures and capabilities for performing its responsibilities and obligations can guarantee the security of cross-border data transfer; (iv) the risks that the data transferred overseas may be falsified, destroyed, divulged, lost, transferred, illegally obtained or illegally used during and after the cross-border transfer; (v) whether contracts or other legally binding documents entered into with the overseas recipient have fully stipulated the responsibilities and obligations to protect data security. In addition, any cross-border data transfer activities conducted in violation of the Measures for the Security Assessment of Cross-border Data Transfer before the effectiveness of such measures are required to be rectified within six months of the effectiveness date thereof.</w:t>
      </w:r>
    </w:p>
    <w:p>
      <w:pPr>
        <w:spacing w:after="0" w:line="18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are making efforts to comply with the applicable laws, regulations and standards, but there can be no assurance that our measures will be effective and sufficient under these PRC laws. If we were found by the regulatory authorities to have failed to comply with these PRC laws, we would be subject to warning, fines, confiscation of illegal revenue, revocation of licenses, cancellation of filings, shutdown of our platform or even criminal liability, and our business, results of operations and financial condition would also be adversely affected. In addition, in light of the evolving regulatory framework of China for the protection of information in cyberspace, we may be subject to uncertainties of and adjustments to our business practices, which may incur additional operating expenses and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occurrence of security breaches and cyber-attacks could negatively impact our business.</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Information technology systems are important to our business and operations. We are subject to attempts to compromise our security and information systems, including denial of service attacks, viruses, malicious software or ransomware, and exploitations of system flaws or weaknesses. Error or malfeasance or other irregularities may also result in the failure of our or our third-party service providers’ cybersecurity measures and may give rise to a cybersecurity incident. The techniques used to conduct security breaches and cyber-attacks, as well as the sources and targets of these attacks, change frequently and may not be recognized until launched against us or our third-party service providers. We or our third-party service providers may not have the resources or technical sophistication to anticipate or prevent rapidly evolving types of cyber-attacks. The primary risks that could directly result from the occurrence of security breaches and cyber-attacks include operational interruption, financial losses, personal information leakage and non-compliance. The occurrence of such incidents could negatively impact our business operations and our relationships with customers and employees, and damage our reputation. If we or our third-party service providers are unable to avert security breaches and cyber-attacks, we could incur significantly higher costs, including remediation costs to repair damage caused by the breach, costs to deploy additional personnel and network protection technologies, train employees and engage third-party experts and consultants, as well as litigation costs resulting from the incident. These costs, which could be material, could adversely impact our results of operations in the period in which they are incurred and may not meaningfully limit the success of future attempts to breach our information technology systems.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right="60"/>
        <w:spacing w:after="0" w:line="291" w:lineRule="auto"/>
        <w:rPr>
          <w:sz w:val="20"/>
          <w:szCs w:val="20"/>
          <w:color w:val="auto"/>
        </w:rPr>
      </w:pPr>
      <w:r>
        <w:rPr>
          <w:rFonts w:ascii="Times New Roman" w:cs="Times New Roman" w:eastAsia="Times New Roman" w:hAnsi="Times New Roman"/>
          <w:sz w:val="17"/>
          <w:szCs w:val="17"/>
          <w:b w:val="1"/>
          <w:bCs w:val="1"/>
          <w:color w:val="auto"/>
        </w:rPr>
        <w:t>If we are unable to maintain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157"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effectively prevent fraud. We maintain a system of internal control over financial reporting, which is defined as a process designed by, or under the supervision of, our principal executive officer and principal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have significant additional requirements for enhanced financial reporting and internal controls. We are required to document and test our internal control procedures in order to satisfy the requirements of Section 404 of the Sarbanes-Oxley Act of 2002, which requires annual management assessments of the effectiveness of our internal controls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will continue to evaluate the effectiveness of our overall control environment and will continue to refine existing controls as they, in conjunction with the Audit Committee of our Board of Directors, chief executive officer and chief financial officer, consider necessary. We cannot assure you that we will not, in the future, identify areas requiring improvement in our internal control over financial reporting. We cannot assure you that the measures we will take to remediate any areas in need of improvement will be successful or that we will implement and maintain adequate controls over our financial processes and reporting in the future as we continue our growth. If we are unable to maintain appropriate internal financial reporting controls and procedures, it could cause us to fail to meet our reporting obligations, result in the restatement of our financial statements, harm our operating results, subject us to regulatory scrutiny and sanction, cause investors to lose confidence in our reported financial information and have a negative effect on the market price for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blockchain business is at an early stage and the PRC laws and regulations may have a potential effect.</w:t>
      </w:r>
    </w:p>
    <w:p>
      <w:pPr>
        <w:spacing w:after="0" w:line="229"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7"/>
          <w:szCs w:val="17"/>
          <w:color w:val="auto"/>
        </w:rPr>
        <w:t>The laws and regulations governing the blockchain in China are developing and evolving and subject to changes. The PRC government adopts a positive attitude to the blockchain technology and it has been mentioned several times in the national strategy reports. On March 2021, the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Five-year Plan (2021-2025) for National Economic and Social Development of the PRC was approved by the 13</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National People’s Congress and firstly mentioned blockchain as a newly recognized manner to support digitalization of the economy. However, the PRC government authorities have strictly prohibited the Initial Coin Offering (the “ICO”) and any similar activities within the PRC by issuing the Announcement of the People's Bank of China, the Office of the Central Leading Group for Cyberspace Affairs, the Ministry of Industry and Information Technology and Other Departments on Preventing the Financing Risks of Initial Coin Offerings on September 4, 2017. The Banking and Insurance Regulatory Commission, the Office of the Central Cyberspace Affairs Commission, the Ministry of Public Security, the People's Bank of China and the State Administration for Market Regulation also issued the Risk Warning for Preventing Illegal Fundraising in the Name of "Virtual Currency" or "Blockchain" on August 24, 2018. The Internet Finance Association of China also issued a series of notices to remind the potential risks of ICO and the cryptocurrency trading to the PRC residents, including the Risk Warning on Guarding against the "Virtual Currency" such as Bitcoin on September 13, 2017, Risk Warning on Guarding against the Disguised Initial Coin Offering Activities on January 12, 2018 and Risk Warning on Guarding against the Offshore Initial Coin Offering Activities and the Cryptocurrency Trading on January 26, 2018.</w:t>
      </w:r>
    </w:p>
    <w:p>
      <w:pPr>
        <w:spacing w:after="0" w:line="19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do not plan to initiate any ICO in China or any other jurisdictions. Based on our understanding of the current PRC law and regulations, we believe that as long as we do not issue any virtual currency coins, we only need to record filing as required by the Cyberspace Administration of China's Regulations on the Management of Blockchain Information Services that went into effect on February 15, 2019. We do not believe that such record filing procedure will have a material effect on our blockchain-powered platform. However, as the laws and regulations governing the blockchain in China are developing and evolving and subject to changes, we cannot assure you that that our blockchain technology related business will continue to be compliance with the PRC law. If our practice is deemed to have violated any PRC law or regulations, our blockchain related business would be materially and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5" w:name="page36"/>
    <w:bookmarkEnd w:id="35"/>
    <w:p>
      <w:pPr>
        <w:ind w:firstLine="486"/>
        <w:spacing w:after="0" w:line="261" w:lineRule="auto"/>
        <w:rPr>
          <w:sz w:val="20"/>
          <w:szCs w:val="20"/>
          <w:color w:val="auto"/>
        </w:rPr>
      </w:pPr>
      <w:r>
        <w:rPr>
          <w:rFonts w:ascii="Times New Roman" w:cs="Times New Roman" w:eastAsia="Times New Roman" w:hAnsi="Times New Roman"/>
          <w:sz w:val="18"/>
          <w:szCs w:val="18"/>
          <w:color w:val="auto"/>
        </w:rPr>
        <w:t>Given the continuing changing of the regulation regime and the government policy of this area in the PRC, an overall limited industry experiences in developing and operating a blockchain-powered platform, and our lack of operating history to serve as a blockchain-based SaaS services provider, our ability to generate substantial revenue from the blockchain-powered platform upon its launch remains unproven. It may be difficult for you to evaluate its performance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Regulation of Our Business and to Our Structure</w:t>
      </w:r>
    </w:p>
    <w:p>
      <w:pPr>
        <w:spacing w:after="0" w:line="22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If the PRC government finds that the agreements that establish the structure for operating our businesses in China do not comply with PRC governmental restrictions on foreign investment in industries in which we operate, or if these regulations or their interpretation change in the future, we could be subject to severe penalties.</w:t>
      </w:r>
    </w:p>
    <w:p>
      <w:pPr>
        <w:spacing w:after="0" w:line="17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operations are substantially conducted through our PRC Operating Entities, or VIEs, and through our contractual agreements with each of our PRC Operating Entities in China. PRC regulations restrict foreign investments in value-added telecommunication services, including providing Internet information services (“ICP”) and used to have restrictions on foreign investments in advertising business, which was lifted on June 29, 2015. In consideration of the restrictions on foreign investments in ICP and advertising business, our whole-owned subsidiary in China, Rise King WFOE, is ineligible to apply for the required licenses for providing Internet information services and was ineligible to apply for the required licenses for providing advertising services in China before June 29, 2015. Our PRC Operating Entities hold the requisite licenses and permits to provide Internet information services and advertising services in China. We have been and are expected to continue to be dependent on these PRC Operating Entities to operate our ICP and advertising business for the foreseeable future. We have entered into Contractual Agreements with the PRC Operating Entities, pursuant to which we, through Rise King WFOE, provide technical support and consulting services to the PRC Operating Entities. In addition, we have entered into agreements with our PRC Operating Entities and each of their shareholders which provide us with the substantial ability to control these affiliates.</w:t>
      </w:r>
    </w:p>
    <w:p>
      <w:pPr>
        <w:spacing w:after="0" w:line="19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Foreign Investment Law, which came into effect on January 1, 2020, stipulates three forms of foreign investment but does not explicitly stipulate the contractual arrangements under the VIE structure as a form of foreign investment. The Foreign Investment Law also stipulates that foreign investment includes “foreign investors invest in China through any other methods under laws, administrative regulations, or provisions prescribed by the State Council.”</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Since the Foreign Investment Law is relatively new, uncertainties still exist in relation to its interpretation and implementation. There is no assurance that foreign investment via contractual arrangements would not be interpreted as a type of indirect foreign investment activities under the Foreign Investment Law in the future.</w:t>
      </w:r>
    </w:p>
    <w:p>
      <w:pPr>
        <w:spacing w:after="0" w:line="17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If our contractual arrangements will be deemed to be in violation of the market access requirements for foreign investment under the PRC laws and regulations, or furthermore we will fail to complete any actions to be taken by companies with respect to existing contractual arrangements as mandated by future laws, administrative regulations or provisions prescribed by the State Council in a timely manner, or at all, the relevant PRC regulatory authorities, including the SAMR and the MIIT, which regulates ICP and advertising companies, would have broad discretion in dealing with such violations, including:</w:t>
      </w:r>
    </w:p>
    <w:p>
      <w:pPr>
        <w:spacing w:after="0" w:line="164"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and operating licenses of Rise King WFOE and/or the PRC Operating Entities;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operations of Rise King WFOE and/or the PRC Operating Entities;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conditions or requirements with which we, Rise King WFOE and/or our PRC Operating Entities may not be able to comply; or</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or Rise King WFOE and/or PRC Operating Entities to restructure the relevant ownership structure or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and would have a material adverse impact on our cash flows, financial position and operating performance.</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rely on contractual arrangements with the PRC Operating Entities and their shareholders for our China operations, which may not be as effective in providing operational control as direct ownership.</w:t>
      </w:r>
    </w:p>
    <w:p>
      <w:pPr>
        <w:spacing w:after="0" w:line="15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rely on contractual arrangements with our PRC Operating Entities and their shareholders to operate our ICP and advertising business. These contractual arrangements may not be as effective in providing us with control over the PRC Operating Entities as direct ownership. If we had direct ownership of the PRC Operating Entities, we would be able to exercise our rights as a shareholder to effect changes in the board of directors of those companies, which in turn could affect changes, subject to any applicable fiduciary obligations, at the management level. However, under the current contractual arrangements, as a legal matter, if the PRC Operating Entities or any of their subsidiaries and shareholders fail to perform its or their respective obligations under these contractual arrangements, we may have to incur substantial costs and resources to enforce such arrangements, and rely on legal remedies under PRC laws, including seeking specific performance or injunctive relief, and claiming damages, which we cannot assure you to be effective. Accordingly, it may be difficult for us to change our corporate structure or to bring claims against the PRC Operating Entities if they do not perform their obligations under its contracts with us or if any of the PRC citizens who hold the equity interest in the PRC Operating Entities do not cooperate with any such actions.</w:t>
      </w:r>
    </w:p>
    <w:p>
      <w:pPr>
        <w:spacing w:after="0" w:line="19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Many of these contractual arrangements are governed by PRC laws and provide for the resolution of disputes through either arbitration or litigation in the PRC. Accordingly, these contracts would be interpreted in accordance with PRC laws and any disputes would be resolved in accordance with PRC legal procedures. The legal environment in the PRC is not as developed as in other jurisdictions, such as the United States. As a result, uncertainties in the PRC legal system could limit our ability to enforce these contractual arrangements. In the event we are unable to enforce these contractual arrangements, we may not be able to exert effective control over our operating entities, and our ability to conduct our business may be negatively affected. In addition, a PRC court or arbitration tribunal may refuse to enforce the contractual arrangements on the grounds that they are designed to circumvent PRC foreign investment restrictions and therefore are against PRC public policy.</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Contractual arrangements we have entered into among the PRC Operating Entities may be subject to scrutiny by the PRC tax authorities and a finding that we owe additional taxes or are ineligible for our tax exemption, or both, could substantially increase our taxes owed, and reduce our net income and the value of your investment.</w:t>
      </w:r>
    </w:p>
    <w:p>
      <w:pPr>
        <w:spacing w:after="0" w:line="17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Under PRC law, arrangements and transactions among related parties may be subject to audit or challenge by the PRC tax authorities. If any of the transactions we have entered into among our subsidiaries and affiliated entities are found not to be on an arm’s-length basis, or to result in an unreasonable reduction in tax under PRC law, the PRC tax authorities have the authority to disallow our tax savings, adjust the profits and losses of our respective PRC entities and assess late payment interest and penalties.</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If any of our PRC Operating Entities incurs debt on its own behalf in the future, the instruments governing the debt may restrict their ability to pay dividends or make other distributions to us. In addition, the PRC tax authorities may require us to adjust our taxable income under the contractual arrangements with the PRC Operating Entities we currently have in place in a manner that would materially and adversely affect the PRC Operating Entities’ ability to pay dividends and other distributions to us. Furthermore, relevant PRC laws and regulations permit payments of dividends by the PRC Operating Entities only out of their retained earnings, if any, determined in accordance with PRC accounting standards and regulations. Under PRC laws and regulations, prior to payment of dividends, each of the PRC Operating Entities is also required to set aside at least 10% of its net income each year as statutory reserves until the balance in the reserve reaches 50% of the registered capital of the respective PRC Operating Entities. As a result of these PRC laws and regulations, the PRC Operating Entities are restricted in their ability to transfer a portion of their net assets to us whether in the form of dividends, loans or advances. Any limitation on the ability of the PRC Operating Entities to pay dividends to us could materially and adversely limit our ability to grow, make investments or acquisitions that could be beneficial to our businesses, pay dividends, or otherwise fund and conduct our business.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presented the condensed consolidating schedules that depicted the financial position, cash flows and results of operations for our company, our consolidated subsidiaries, consolidated VIE, and any eliminating adjustments as of December 31, 2025 and 2024, and for the years ended December 31, 2025 and 2024, respectively. All amounts are presented in thousands of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w:t>
            </w: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group companies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acquisition</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5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38,855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20,482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(51,270)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9,678</w:t>
            </w:r>
          </w:p>
        </w:tc>
      </w:tr>
      <w:tr>
        <w:trPr>
          <w:trHeight w:val="197"/>
        </w:trPr>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group companies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borrowing from a related party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36,526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38,168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w:t>
            </w: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38,855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20,482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9,678</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w:t>
            </w:r>
          </w:p>
        </w:tc>
      </w:tr>
      <w:tr>
        <w:trPr>
          <w:trHeight w:val="209"/>
        </w:trPr>
        <w:tc>
          <w:tcPr>
            <w:tcW w:w="4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group companies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and prepayments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19,822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9,686</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investors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payment liabilities related to short-term leases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Due to group companies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borrowing from a related party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35,370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5,968</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36,566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3,718</w:t>
            </w: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19,822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(50,351)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9,686</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8"/>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w:t>
            </w:r>
          </w:p>
        </w:tc>
      </w:tr>
      <w:tr>
        <w:trPr>
          <w:trHeight w:val="232"/>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r>
      <w:tr>
        <w:trPr>
          <w:trHeight w:val="174"/>
        </w:trPr>
        <w:tc>
          <w:tcPr>
            <w:tcW w:w="4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Income/(loss) before income tax benefit and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ZW Data Action Technologies Inc.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174"/>
        </w:trPr>
        <w:tc>
          <w:tcPr>
            <w:tcW w:w="4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Income/(loss) before income tax benefit and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4"/>
        </w:trPr>
        <w:tc>
          <w:tcPr>
            <w:tcW w:w="46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income/(loss) attributable to ZW Data Action</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100" w:type="dxa"/>
            <w:vAlign w:val="bottom"/>
          </w:tcPr>
          <w:p>
            <w:pPr>
              <w:spacing w:after="0"/>
              <w:rPr>
                <w:sz w:val="15"/>
                <w:szCs w:val="15"/>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(3,761)</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Technologies Inc.</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Consolidation</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958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8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3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240" w:type="dxa"/>
            <w:vAlign w:val="bottom"/>
          </w:tcPr>
          <w:p>
            <w:pPr>
              <w:spacing w:after="0"/>
              <w:rPr>
                <w:sz w:val="20"/>
                <w:szCs w:val="20"/>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VIE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w:t>
            </w:r>
          </w:p>
        </w:tc>
      </w:tr>
      <w:tr>
        <w:trPr>
          <w:trHeight w:val="232"/>
        </w:trPr>
        <w:tc>
          <w:tcPr>
            <w:tcW w:w="46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194"/>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w:t>
            </w:r>
          </w:p>
        </w:tc>
      </w:tr>
      <w:tr>
        <w:trPr>
          <w:trHeight w:val="20"/>
        </w:trPr>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Doing Business 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substantial risks associated with doing business in China, as set forth in the following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and assets in China are subject to significant political and economic uncertainties.</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Changes in PRC laws and regulations, or their interpretation, or the imposition of confiscatory taxation, restrictions on currency conversion, imports and sources of supply, devaluations of currency or the nationalization or other expropriation of private enterprises could have a material adverse effect on our business, results of operations and financial condition.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w:t>
      </w:r>
    </w:p>
    <w:p>
      <w:pPr>
        <w:spacing w:after="0" w:line="17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The PRC government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significant oversight and discretion over our business operation could result in a material adverse change in our operations and the value of our listed securities.</w:t>
      </w:r>
    </w:p>
    <w:p>
      <w:pPr>
        <w:spacing w:after="0" w:line="159" w:lineRule="exact"/>
        <w:rPr>
          <w:sz w:val="20"/>
          <w:szCs w:val="20"/>
          <w:color w:val="auto"/>
        </w:rPr>
      </w:pPr>
    </w:p>
    <w:p>
      <w:pPr>
        <w:ind w:right="80" w:firstLine="486"/>
        <w:spacing w:after="0" w:line="252" w:lineRule="auto"/>
        <w:rPr>
          <w:sz w:val="20"/>
          <w:szCs w:val="20"/>
          <w:color w:val="auto"/>
        </w:rPr>
      </w:pPr>
      <w:r>
        <w:rPr>
          <w:rFonts w:ascii="Times New Roman" w:cs="Times New Roman" w:eastAsia="Times New Roman" w:hAnsi="Times New Roman"/>
          <w:sz w:val="18"/>
          <w:szCs w:val="18"/>
          <w:color w:val="auto"/>
        </w:rPr>
        <w:t>We conduct our operations in China through our PRC subsidiaries, our VIEs, with which we have maintained contractual arrangements, and their subsidiaries in China. Our operations in China are governed by PRC laws and regulations. The PRC government has significant oversight and discretion over the conduct of our business, and it may influence our operations, which could result in a material adverse change in our operation and/or the value of our securities. Also, the PRC government has recently promulgated certain regulations and rules to exert more oversight and control over offerings that are conducted overseas and/or foreign investment in China-based issuers. For example, on July 6, 2021, the relevant PRC government authorities made public the Opinions on Strictly Cracking Down Illegal Securities Activities in Accordance with the Law (the “Opinions”).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On February 17, 2023, the CSRC released the Trial Administrative Measures of Overseas Securities Offering and Listing by Domestic Companies and five supporting guidelines (collectively, the “Filing Rules”), which came into effect on March 31, 2023. Pursuant to the Filing Rules, domestic companies that seek to offer or list their securities in an overseas market, whether directly or indirectly, are required to fulfill relevant filing procedure and report relevant information to the CSRC. On December 28, 2021, the NDRC, the MIIT, and several other administrations jointly published the Measures for Cybersecurity Review, effective on February 15, 2022, which required that, among others, operators of “critical information infrastructure” purchasing network products and services or network platform operators carrying out data processing activities, that affect or may affect national security, shall apply with the Cybersecurity Review Office for a cybersecurity review. In addition, a network platform operator holding over one million users’ personal information shall apply with the Cybersecurity Review Office for a cybersecurity review before any public offering at a foreign stock exchange.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Since the Opinions, the Filing Rules and the Measures for Cybersecurity Review are relevantly new and remain unclear on how it will be interpreted, amended and implemented by the relevant PRC governmental authorities, it remains uncertain whether we can obtain the specific regulatory approvals from, and complete the required filings with the CSRC, CAC or any other PRC government authorities for our future securities offering in a timely basis or at all. If we are unable to obtain such approvals or complete such filings, or such approvals or filings are rescinded even if obtained, our ability to continue to offer securities to investors will be significantly limited or completely hindered, and the value of such securities may be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Uncertainties in the interpretation and enforcement of PRC laws and regulations could limit the legal protections available to you and us.</w:t>
      </w:r>
    </w:p>
    <w:p>
      <w:pPr>
        <w:spacing w:after="0" w:line="22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may be cited for reference but have limited precedential value.</w:t>
      </w:r>
    </w:p>
    <w:p>
      <w:pPr>
        <w:spacing w:after="0" w:line="16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and contractual terms, it may be difficult to evaluate the outcome of administrative and court proceedings and the level of legal protection available to you and us.</w:t>
      </w:r>
    </w:p>
    <w:p>
      <w:pPr>
        <w:spacing w:after="0" w:line="18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PRC regulations relating to mergers and acquisitions of domestic enterprises by foreign investors may increase the administrative burden we face and create regulatory uncertainties.</w:t>
      </w:r>
    </w:p>
    <w:p>
      <w:pPr>
        <w:spacing w:after="0" w:line="159" w:lineRule="exact"/>
        <w:rPr>
          <w:sz w:val="20"/>
          <w:szCs w:val="20"/>
          <w:color w:val="auto"/>
        </w:rPr>
      </w:pPr>
    </w:p>
    <w:p>
      <w:pPr>
        <w:jc w:val="both"/>
        <w:ind w:right="580" w:firstLine="486"/>
        <w:spacing w:after="0" w:line="266"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(the “M&amp;A Rules”), which adopted by six PRC regulatory agencies, took effect as of September 8, 2006 and was subsequently amended on June 22, 2009. This M&amp;A Rules established additional procedures and requirements that could make merger and acquisition activities by foreign investors more time-consuming and complex.</w:t>
      </w:r>
    </w:p>
    <w:p>
      <w:pPr>
        <w:spacing w:after="0" w:line="17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In addition, the Implementing Rules Concerning Security Review on the Mergers and Acquisitions by Foreign Investors of Domestic Enterprises (the “Rules Concerning Security Review on M&amp;A”), issued by the Ministry of Commerce in August 2011, specify that mergers and acquisitions by foreign investors involved in “an industry related to national security” are subject to strict review by the Ministry of Commerce, and prohibit any activities attempting to bypass such security review, including by structuring the transaction through a proxy or contractual control arrangement. We believe that our business is not in an industry related to national security, but we cannot preclude the possibility that the competent PRC government authorities may publish explanations contrary to our understanding or broaden the scope of such security reviews in the future, in which case our future acquisitions and investment in China, including those by way of entering into contractual arrangements with target entities, may be closely scrutinized or prohibited. Moreover, according to the Anti-Monopoly Law, as amended, the SMAR should be notified in advance of any concentration of undertaking if certain filing thresholds are triggered. We may grow our business in part by directly acquiring complementary businesses in China. Complying with the requirements of these laws and regulations and other regulations of China to complete such transactions could be time-consuming, and any of these required approval processes, may delay or inhibit our ability to complete such transactions. Our ability to expand our business or maintain or expand our market share through future acquisitions would as such be materially and adversely affected.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2020, the NDRC and the Ministry of Commerce promulgated the Measures for the Security Review of Foreign Investment, which came into effect on January 18, 2021. As these measures are recently promulgated, official guidance has not been issued. Currently, the interpretation of those measures remains unclear in many aspects, such as what would constitute “important information technology and internet services and products” and whether these measures may apply to foreign investment that is implemented or completed before the enactment of these new measures. Such uncertainties may restrict our ability to implement our acquisition strategy and adversely affect our business and prospects.</w:t>
      </w:r>
    </w:p>
    <w:p>
      <w:pPr>
        <w:spacing w:after="0" w:line="1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p>
    <w:p>
      <w:pPr>
        <w:spacing w:after="0" w:line="1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7"/>
          <w:szCs w:val="17"/>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a follow-up, on February 17, 2023, the CSRC, as approved by the State Council, released the Trial Administrative Measures of Overseas Securities Offering and Listing by Domestic Companies and a series of associated regulatory guidelines (collectively, the “Filing Rules”), which came into effect from March 31, 2023. The Filing Rules establish a new filing-based regime to regulate overseas offerings of stocks, depository receipts, convertible corporate bond, or other equity securities, and overseas listing of these securities for trading, by domestic companies. According to the Filing Rules, domestic companies that directly or indirectly offer or list their securities in an overseas market should file with the CSRC. Specifically, the examination and determination of an indirect offering and listing will be conducted on a substance-over-form basis, and an offering and listing should be considered as an indirect overseas offering and listing by a domestic company if the issuer meets both of the following conditions: (i) any of the revenue, profits, total assets or net assets of such domestic company in the most recent financial year account for more than 50% of the corresponding data in the issuer’s audited consolidated financial statements for the same period; and (ii) the majority of its business operations are conducted in mainland China or its principal place of business is located in the mainland China, or the majority of senior management in charge of business operations are Chinese citizens or have domicile in the mainland China. According to the Filing Rules, the issuer or its affiliated domestic company, as the case may be, must file with the CSRC for its initial public offering, follow-on offering and other equivalent offering activities. Particularly, a listed company like us is required to submit the filing with respect to its follow-on offerings, issuance of convertible corporate bonds and exchangeable bonds, and other equivalent offering activities, within a specific time frame, which is within three business days after completion of</w:t>
      </w:r>
    </w:p>
    <w:p>
      <w:pPr>
        <w:spacing w:after="0" w:line="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such follow-on offering, issuance of convertible corporate bonds and exchangeable bonds, and other equivalent offering activities. Failure to comply with the filing requirements may result in an order of rectification, a warning and fines to the relevant domestic companies, and a warning and fines on the controlling shareholder, the actual controller and other responsible persons. The Filing Rules also sets forth certain regulatory red lines for overseas offerings and listings by domestic enterprises and additional reporting obligations for listed companies in the case of material changes.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3" w:name="page44"/>
    <w:bookmarkEnd w:id="43"/>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 Q&amp;A released on the CSRC’s official website, the respondent CSRC official stated that the domestic companies which have listed their securities in the overseas market as of March 31, 2023 will be regarded as the existing overseas listed companies, which will not be required to file with the CSRC until they conduct any new offerings subject to the filing requirements under the Filing Rules. The Q&amp;A also addressed the contractual arrangements and pointed out that, as for companies with contractual arrangements seeking overseas offering, the CSRC will solicit opinions from relevant regulatory authorities and complete the filing procedures for companies with contractual arrangements complying with relevant laws and regulations. If we fail to file with the CSRC in a timely manner or at all, for any future offering (including, among others, follow-on offerings, issuance of convertible corporate bonds and exchangeable bonds, and other equivalent offering activities) pursuant to the Filing Rules due to our contractual arrangements, our ability to raise or utilize funds could be materially and adversely affected, and we may even need to unwind our contractual arrangements or restructure our business operations to rectify the failure to complete the filings. We have submitted the filing documents in connection with the issue of shares pursuant to the Securities Purchase Agreements under the Recent Developments contained in Item 1 of this Annual Report to the CSRC in accordance with the Filing Rules. However, as the Filing Rules were recently promulgated, there remain substantial uncertainties as to their interpretation, application, and enforcement and how they will affect our operations and our future financing.</w:t>
      </w:r>
    </w:p>
    <w:p>
      <w:pPr>
        <w:spacing w:after="0" w:line="19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February 24, 2023, the CSRC, jointly with other relevant governmental authorities, promulgated the revised Provisions on Strengthening Confidentiality and Archives Management of Overseas Securities Issuance and Listing by Domestic Enterprises (the “Confidentiality and Archives Management Provisions”), which took effect on March 31, 2023. According to the Confidentiality and Archives Management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Confidentiality and Archives Management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w:t>
      </w:r>
    </w:p>
    <w:p>
      <w:pPr>
        <w:spacing w:after="0" w:line="190"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any additional approval and filing from the CSRC or other regulatory authorities or other procedures, including the cybersecurity review under the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line="268" w:lineRule="auto"/>
        <w:rPr>
          <w:sz w:val="20"/>
          <w:szCs w:val="20"/>
          <w:color w:val="auto"/>
        </w:rPr>
      </w:pPr>
      <w:r>
        <w:rPr>
          <w:rFonts w:ascii="Times New Roman" w:cs="Times New Roman" w:eastAsia="Times New Roman" w:hAnsi="Times New Roman"/>
          <w:sz w:val="18"/>
          <w:szCs w:val="18"/>
          <w:b w:val="1"/>
          <w:bCs w:val="1"/>
          <w:color w:val="auto"/>
        </w:rPr>
        <w:t>Any failure or perceived failure by us to comply with the Anti-Monopoly Guidelines for Internet Platforms Economy Sector and other PRC anti-monopoly laws and regulations may result in governmental investigations or enforcement actions, litigation or claims against us and could have an adverse effect on our business, financial condition and results of operations.</w:t>
      </w:r>
    </w:p>
    <w:p>
      <w:pPr>
        <w:spacing w:after="0" w:line="17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PRC anti-monopoly enforcement agencies have strengthened enforcement under the PRC Anti-Monopoly Law in recent years. On December 28, 2018, the SAMR, issued the Notice on Anti-monopoly Enforcement Authorization, pursuant to which its province-level branches are authorized to conduct anti-monopoly enforcement within their respective jurisdictions. On September 11, 2020, the Anti-Monopoly Commission of the State Council issued Anti-monopoly Compliance Guideline for Operators, which requires operators to establish anti-monopoly compliance management systems under the PRC Anti-Monopoly Law to manage anti-monopoly compliance risks. On February 7, 2021, the Anti-Monopoly Commission of the State Council published Anti-Monopoly Guidelines for the Internet Platform Economy Sector that specified circumstances where an activity of an internet platform will be identified as monopolistic act as well as concentration filing procedures for business operators, including those involving variable interest entities. On March 12, 2021, the SAMR published several administrative penalty cases about concentration of business operators that violated PRC Anti-Monopoly Law in the internet sector.</w:t>
      </w:r>
    </w:p>
    <w:p>
      <w:pPr>
        <w:spacing w:after="0" w:line="18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On October 23, 2021, the Standing Committee of the National People’s Congress issued a discussion draft of the amended Anti-Monopoly Law, which proposes to increase the fines for illegal concentration of business operators to “no more than ten percent of its last year’s sales revenue if the concentration of business operator has or may have an effect of excluding or limiting competition; or a fine of up to RMB5 million if the concentration of business operator does not have an effect of excluding or limiting competition.” The draft also proposes for the relevant authority to investigate transaction where there is evidence that the concentration has or may have the effect of eliminating or restricting competition, even if such concentration does not reach the filing threshold. On June 24, 2022, the Standing Committee of the National People’s Congress passed the amended PRC Anti-Monopoly Law, which became effective on August 1, 2022. As a follow-up, in March 2023, the SAMR issued four associated regulatory guidelines, which became effective on April 15, 2023.</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Given that we do not hold a dominant market position in the relevant markets and we have not entered into any monopolistic agreement, our PRC legal advisor, Beijing Kunrong Law Firm, is of the view that we are in compliance with the currently effective PRC anti-monopoly laws in all material aspects; however, if the PRC regulatory authorities identify any of our activities as monopolistic under the PRC Anti-Monopoly Law or the Anti-Monopoly Guidelines for the Internet Platform Economy Sector, or identify us holding a dominant market position or of abusing such dominant position, we may be subject to other investigations and administrative penalties, such as termination of monopolistic act and confiscation of illegal gains. There are significant uncertainties associated with the evolving legislative activities and varied local implementation practices of anti-monopoly and competition laws and regulations in China, especially with respect to the interpretation and implementation of the amended Anti-Monopoly Law. With the enactment of the amended Anti-Monopoly Law, it will be more difficult to complete the acquisition transaction. It will be costly for us to adjust our business practices in order to comply with these evolving laws, regulations, rules, guidelines and implementations. Any non-compliance or associated inquiries, investigations and other governmental actions may divert significant management time and attention and our financial resources, lead to negative publicity, liabilities or administrative penalties, therefore materially and adversely affect our financial conditions, operations and business prospects. If we are required to take any rectifying or remedial measures or are subject to any penalties, our reputation and business operations may be materially and adversely affected.</w:t>
      </w:r>
    </w:p>
    <w:p>
      <w:pPr>
        <w:spacing w:after="0" w:line="1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Substantial uncertainties exist with respect to the interpretation and implementation of cybersecurity related regulations and cybersecurity review as well as any impact these may have on our business operations.</w:t>
      </w:r>
    </w:p>
    <w:p>
      <w:pPr>
        <w:spacing w:after="0" w:line="15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cybersecurity legal regime in China is relatively new and evolving rapidly, and their interpretation and enforcement involve significant uncertainties. As a result, it may be difficult to determine what actions or omissions may be deemed to be in violations of applicable laws and regulations in certain circumstances.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5" w:name="page46"/>
    <w:bookmarkEnd w:id="45"/>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Network operators in China are subject to numerous laws and regulations, and have the obligations to, among others, (i) establish internal security management systems that meet the requirements of the classified protection system for cybersecurity, (ii) implement technical measures to monitor and record network operation status and cybersecurity incidents, (iii) implement data security measures such as data classification, backups and encryption, and (iv) submit for cybersecurity review under certain circumstances.</w:t>
      </w:r>
    </w:p>
    <w:p>
      <w:pPr>
        <w:spacing w:after="0" w:line="18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On November 7, 2016, the Standing Committee of the National People’s Congress issued the Cyber Security Law, which imposes more stringent requirements on operators of “critical information infrastructure,” especially in data storage and cross-border data transfer.</w:t>
      </w:r>
    </w:p>
    <w:p>
      <w:pPr>
        <w:spacing w:after="0" w:line="162"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On December 28, 2021, the CAC, the NDRC, the MIIT, and several other administrations jointly published the Measures for Cybersecurity Review, effective on February 15, 2022, which provides that certain operators of critical information infrastructure purchasing network products and services or network platform operators carrying out data processing activities, which affect or may affect national security, must apply with the Cybersecurity Review Office for a cybersecurity review. However, the scope of operators of “critical information infrastructure” under the current regulatory regime remains unclear and is subject to the decisions of competent PRC regulatory authorities. As advised by our PRC counsel, Beijing Kunrong Law Firm, the exact scope of operators of “critical information infrastructure” under the Measures for Cybersecurity Review and current PRC regulatory regime remains unclear, and is subject to the decisions of the relevant PRC government authorities that have been delegated the authority to identify operators of “critical information infrastructure” in their respective jurisdictions (including regions and industries). PRC government authorities have wide discretion in the interpretation and enforcement of these laws, including the identification of operators of “critical information infrastructure” and the interpretation and enforcement of requirements potentially applicable to such operators of “critical information infrastructure.” As an internet platform, we are at risk of being deemed to be an operator of “critical information infrastructure” or a network platform operator meeting the above criteria under PRC cybersecurity laws. If we are identified as an operator of “critical information infrastructure,” we would be required to fulfill various obligations as required under PRC cybersecurity laws and other applicable laws for such operators of “critical information infrastructure” thus currently not applicable to us, including, among others, setting up a special security management organization, organizing regular cybersecurity education and training, formulating emergency plans for cyber security incidents and conducting regular emergency drills, and although the internet products and services we purchase are primarily bandwidth, copyright content and marketing services, we may need to follow cybersecurity review procedure and apply with Cybersecurity Review Office before making certain purchases of network products and services. During cybersecurity review, we may be required to suspend the provision of any existing or new services to our users, and we may experience other disruptions of our operations, which could cause us to lose users and customers therefore leading to adverse impacts on our business. The cybersecurity review could also lead to negative publicity and a diversion of time and attention of our management and our other resources. It could be costly and time-consuming for us to prepare application materials and make the applications. Furthermore, there can be no assurance that we will obtain the clearance or approval for these applications from the Cybersecurity Review Office and the relevant regulatory authorities in a timely manner, or at all. If we are found to be in violation of cybersecurity requirements in China, the relevant governmental authorities may, at their discretion, conduct investigations, levy fines, request app stores to take down our apps and cease to provide viewing and downloading services related to our apps, prohibit the registration of new users on our platform, or require us to change our business practices in a manner materially adverse to our business. Any of these actions may disrupt our operations and adversely affect our business, results of operations and financial condition.</w:t>
      </w:r>
    </w:p>
    <w:p>
      <w:pPr>
        <w:spacing w:after="0" w:line="20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November 14, 2021, the CAC published a discussion draft of the Administrative Measures for Internet Data Security, or the Draft Measures for Internet Data Security, which provides that data processors conducting the following activities shall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There have been no clarifications from the authorities as of the date of this annual report as to the standards for determining such activities that “affects or may affect national security.” The CAC has solicited comments on this draft until December 13, 2021, but there is no timetable as to when it will be enacted. As such, substantial uncertainties exist with respect to the enactment timetable, final content, interpretation and implementation. The Draft Measures for Internet Data Security, if enacted as proposed, may materially impact our capital raising activities. Any failure to obtain such approval or clearance from the regulatory authorities could materially constrain our liquidity and have a material adverse impact on our business operations and financial results, especially if we need additional capital or financing.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6" w:name="page47"/>
    <w:bookmarkEnd w:id="46"/>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interpretation and application of these cybersecurity laws, regulations and standards are still uncertain and evolving, especially the Draft Measures for Internet Data Security. We cannot assure you that relevant governmental authorities will not interpret or implement these and other laws or regulations in ways that may negatively affect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affected by the complexity, uncertainties and changes in PRC licensing and regulation of internet businesses.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the licensing and permit requirements pertaining to companies in this industry. Internet-related laws and regulations in China are relatively new and evolving, and their interpretation and enforcement involve significant uncertainty. As a result, it may be difficult to determine what actions or omissions may be deemed to be violations of applicable laws and regulations in certain circumstances. Our PRC operating VIEs engaged in ICP business have obtained their respective ICP permits and comply with the annual inspection and other related provisions. However, we cannot assure you that we have obtained all the permits or licenses required for conducting our business in China or will be able to maintain our existing licenses or obtain any new licenses if required by any new laws or regulations. In addition, due to the increasing popularity and use of the internet other online services, it is possible that additional laws and regulations may be adopted with respect to the internet or other online services covering issues such as user privacy, pricing, content, copyrights and distribution. The adoption of additional laws or regulations may decrease the growth of the internet or other online services, which could in turn decrease the demand for our products and services and increase our cost of doing business.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Currency fluctuations and restrictions on currency exchange may adversely affect our business, including limiting our ability to convert Chinese Renminbi into foreign currencies and, if Chinese Renminbi were to decline in value, reducing our revenue in U.S. dollar terms.</w:t>
      </w:r>
    </w:p>
    <w:p>
      <w:pPr>
        <w:spacing w:after="0" w:line="15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Our reporting currency is the U.S. dollar and our operations in China use the local currency as their functional currencies. We are subject to the effects of exchange rate fluctuations with respect to any of these currencies.</w:t>
      </w:r>
    </w:p>
    <w:p>
      <w:pPr>
        <w:spacing w:after="0" w:line="16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income statements of our operations are translated into U.S. dollars at the average exchange rates in each applicable period. To the extent the U.S. dollar strengthens against foreign currencies, the translation of these foreign currencies denominated transactions results in reduced revenue, operating expenses and net income for our international operations. Similarly, to the extent the U.S. dollar weakens against foreign currencies, the translation of these foreign currency denominated transactions results in increased revenue, operating expenses and net income for our international operations. We are also exposed to foreign exchange rate fluctuations as we convert the financial statements of our foreign operating subsidiaries and VIEs into U.S. dollars in consolidation. If there is a change in foreign currency exchange rates, the conversion of the foreign subsidiaries and VIEs’ financial statements into U.S. dollars will lead to a translation gain or loss which is recorded as a component of other comprehensive income. We have not entered into agreements or purchased instruments to hedge our exchange rate risks, although we may do so in the future. The availability and effectiveness of any hedging transaction may be limited and we may not be able to successfully hedge our exchange rate risks.</w:t>
      </w:r>
    </w:p>
    <w:p>
      <w:pPr>
        <w:spacing w:after="0" w:line="188"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Although Chinese governmental policies were introduced in 1996 to allow the convertibility of Chinese Renminbi into foreign currency for current account items, conversion of Chinese Renminbi into foreign exchange for capital items, such as foreign direct investment, loans or securities, requires the approval of the State Administration of Foreign Exchange, or SAFE, which is under the authority of the People’s Bank of China. These approvals, however, do not guarantee the availability of foreign currency conversion. We cannot be sure that we will be able to obtain all required conversion approvals for our operations or those Chinese regulatory authorities will not impose greater restrictions on the convertibility of Chinese Renminbi in the future. Because a significant amount of our future revenue may be in the form of Chinese Renminbi, our inability to obtain the requisite approvals or any future restrictions on currency exchanges could limit our ability to utilize revenue generated in Chinese Renminbi to fund our business activities outside of China, or to repay foreign currency obligations, including our debt obligations, which would have a material adverse effect on our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We may have limited legal recourse under PRC laws if disputes arise under our contracts with third parties.</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Chinese government has enacted laws and regulations dealing with matters such as corporate organization and governance, foreign investment, commerce, taxation and trade. However, their experience in implementing, interpreting and enforcing these laws and regulations is limited, and our ability to enforce commercial claims or to resolve commercial disputes is unpredictable. If our new business ventures are unsuccessful, or other adverse circumstances arise from these transactions, we face the risk that the parties to these ventures may seek ways to terminate the transactions, or, may hinder or prevent us from accessing important information regarding the financial and business operations of these acquired companies. The resolution of these matters may be subject to the exercise of considerable discretion by agencies of the Chinese government, and forces unrelated to the legal merits of a particular matter or dispute may influence their determination. Any rights we may have to specific performance, or to seek an injunction under PRC law, in either of these cases, are severely limited, and without a means of recourse by virtue of the Chinese legal system, we may be unable to prevent these situations from occurring. The occurrence of any such events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must comply with the Foreign Corrupt Practices Act.</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are required to comply with the United States Foreign Corrupt Practices Act, which prohibits U.S. companies from engaging in bribery or other prohibited payments to foreign officials for the purpose of obtaining or retaining business. Foreign companies, including some of our competitors, are not subject to these prohibitions.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Although we inform our personnel that such practices are illegal, we cannot assure you that our employees or other agents will not engage in such conduct for which we might be held responsible. If our employees or other agents are found to have engaged in such practices, we could suffer severe penalties.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Changes in foreign exchange regulations in the PRC may affect our ability to pay dividends in foreign currency or conduct other foreign exchange business.</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Renminbi is not a freely convertible currency, and the restrictions on currency exchanges may limit our ability to use revenues generated in Renminbi to fund our business activities outside the PRC or to make dividends or other payments in United States dollars. The PRC government strictly regulates conversion of Renminbi into foreign currencies. Over the years, foreign exchange regulations in the PRC have significantly reduced the government’s control over routine foreign exchange transactions under current accounts. In the PRC, the State Administration for Foreign Exchange, or the SAFE, regulates the conversion of the Renminbi into foreign currencies. Pursuant to applicable PRC laws and regulations, foreign invested enterprises incorporated in the PRC are required to apply for foreign exchange registration certificates. Currently, conversion within the scope of the “current account” (e.g. remittance of foreign currencies for payment of dividends, etc.) can be effected without requiring the approval of SAFE. However, conversion of currency in the “capital account” (e.g. for capital items such as direct investments, loans, securities, etc.) still requires the approval of SAFE.</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Any limitation on the ability of our PRC subsidiaries and VIEs to make payments to us, or the tax implications of making payments to us, could have a material adverse effect on our ability to conduct our business or our financial condition.</w:t>
      </w:r>
    </w:p>
    <w:p>
      <w:pPr>
        <w:spacing w:after="0" w:line="159"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As substantially all of our operations are conducted through our PRC subsidiaries and VIEs, as a Nevada holding company, our ability to pay dividends is primarily dependent on receiving distributions of funds from our PRC subsidiaries and VIEs. Relevant PRC statutory laws and regulations permit payments of dividends by our PRC subsidiaries and VIEs only out of their retained earnings, if any, as determined in accordance with PRC accounting standards and regulations and after it has met the PRC requirements for appropriation to statutory reserves. Paid in capital of the PRC subsidiaries and VIEs included in our consolidated net assets are also not distributable for dividend purposes.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8" w:name="page49"/>
    <w:bookmarkEnd w:id="48"/>
    <w:p>
      <w:pPr>
        <w:ind w:right="40" w:firstLine="486"/>
        <w:spacing w:after="0" w:line="270" w:lineRule="auto"/>
        <w:rPr>
          <w:sz w:val="20"/>
          <w:szCs w:val="20"/>
          <w:color w:val="auto"/>
        </w:rPr>
      </w:pPr>
      <w:r>
        <w:rPr>
          <w:rFonts w:ascii="Times New Roman" w:cs="Times New Roman" w:eastAsia="Times New Roman" w:hAnsi="Times New Roman"/>
          <w:sz w:val="17"/>
          <w:szCs w:val="17"/>
          <w:color w:val="auto"/>
        </w:rPr>
        <w:t>In accordance with the PRC regulations on Enterprises with Foreign Investment, a WFOE established in the PRC is required to provide certain statutory reserves, namely general reserve fund, the enterprise expansion fund and staff welfare and bonus fund which are appropriated from net profit as reported in the enterprise’s PRC statutory accounts. A WFOE is required to allocate at least 10% of its annual after-tax profit to the general reserve until such reserve has reached 50% of its registered capital based on the enterprise’s PRC statutory accounts. Appropriations to the enterprise expansion fund and staff welfare and bonus fund are at the discretion of the board of directors. The aforementioned reserves can only be used for specific purposes and are not distributable as cash dividends. Rise King WFOE is subject to the above mandated restrictions on distributable profits. Additionally, in accordance with the Company Law of the PRC, a domestic enterprise is required to provide a statutory common reserve of at least 10% of its annual after-tax profit until such reserve has reached 50% of its registered capital based on the enterprise’s PRC statutory accounts. A domestic enterprise is also required to provide for a discretionary surplus reserve, at the discretion of the board of directors. The aforementioned reserves can only be used for specific purposes and are not distributable as cash dividends. All of our other PRC subsidiaries and PRC VIEs are subject to the above mandated restrictions on distributable profits.</w:t>
      </w:r>
    </w:p>
    <w:p>
      <w:pPr>
        <w:spacing w:after="0" w:line="17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PRC Enterprise Income Tax (“EIT”) Law also imposes a 10% withholding income tax for dividends distributed by a foreign invested enterprise to its immediate holding company outside China. A lower withholding tax rate will be applied if there is a tax treaty arrangement between mainland China and the jurisdiction of the foreign holding company. Holding companies in Hong Kong, for example, may enjoy the reduced withholding tax rate of 5% rate, subject to certain conditions and requirements.</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ability of our PRC subsidiaries to make dividends and other payments to us may also be restricted by changes in applicable foreign exchange and other laws and regulations. Currently, Renminbi is freely convertible for current account items, including the distribution of dividends, interest payments, trade and service related foreign exchange transactions, but not for capital account items, such as direct investments, loans, repatriation of investments and investments in securities outside of China, unless the prior approval of the State Administration of Foreign Exchange (the “SAFE”) is obtained and prior registration with the SAFE is made. Foreign-invested enterprises like Rise King WFOE that need foreign exchange for the distribution of profits to its shareholders may effect payment from their foreign exchange accounts or purchase and pay foreign exchange rates at the designated foreign exchange banks to their foreign shareholders by producing board resolutions for such profit distribution. Based on their needs, foreign-invested enterprises are permitted to open foreign exchange settlement accounts for current account receipts and payments of foreign exchange along with specialized accounts for capital account receipts and payments of foreign exchange at certain designated foreign exchange banks.</w:t>
      </w:r>
    </w:p>
    <w:p>
      <w:pPr>
        <w:spacing w:after="0" w:line="18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Although the current Exchange Rules allow converting Chinese Renminbi into foreign currency for current account items, conversion of Chinese Renminbi into foreign exchange for capital items, such as foreign direct investment, loans or securities, requires the approval of SAFE, which is under the authority of the People’s Bank of China. These approvals, however, do not guarantee the availability of foreign currency conversion. We cannot be sure that it will be able to obtain all required conversion approvals for our operations or the Chinese regulatory authorities will not impose greater restrictions on the convertibility of Chinese Renminbi in the future. Currently, most of our retained earnings are generated in Renminbi. Any future restrictions on currency exchanges may limit our ability to use retained earnings generated in Renminbi to make dividends or other payments in U.S. dollars or fund possible business activities outside China.</w:t>
      </w:r>
    </w:p>
    <w:p>
      <w:pPr>
        <w:spacing w:after="0" w:line="18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had historically been unable to inspect our auditor in relation to their audit work performed for our financial statements and the inability of the PCAOB to conduct inspections over our auditor has deprived our investors with the benefits of such inspections.</w:t>
      </w:r>
    </w:p>
    <w:p>
      <w:pPr>
        <w:spacing w:after="0" w:line="17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ind w:right="60"/>
        <w:spacing w:after="0" w:line="282" w:lineRule="auto"/>
        <w:rPr>
          <w:sz w:val="20"/>
          <w:szCs w:val="20"/>
          <w:color w:val="auto"/>
        </w:rPr>
      </w:pPr>
      <w:r>
        <w:rPr>
          <w:rFonts w:ascii="Times New Roman" w:cs="Times New Roman" w:eastAsia="Times New Roman" w:hAnsi="Times New Roman"/>
          <w:sz w:val="17"/>
          <w:szCs w:val="17"/>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6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0" w:name="page51"/>
    <w:bookmarkEnd w:id="50"/>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directly subject to the scrutiny involving U.S. listed Chinese companies, we may have to expend significant resources to investigate and/or defend the matter, which could harm our business operations, stock price and reputation.</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and/or SEC enforcement actions that are conducting internal and/or external investigations into the allegations. If we become the subject of any such scrutiny, whether any allegations are true or not, we may have to expend significant resources to investigate such allegations and/or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enforcement of the PRC Labor Contract Law and other labor-related regulations in the PRC may adversely affect our business and results of operations.</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Standing Committee of the National People’s Congress enacted the Labor Contract Law on January 2008 and amended it on December 28, 2012. The Labor Contract Law introduced specific provisions related to fixed-term employment contracts, part-time employment, probationary periods, consultation with labor unions and employee assemblies, employment without a written contract, dismissal of employees, severance, and collective bargaining to enhance previous PRC labor laws. Under the Labor Contract Law, an employer is obligated to sign an unlimited-term labor contract with any employee who has worked for the employer for ten consecutive years. Further, if an employee requests or agrees to renew a fixed-term labor contract that has already been entered into twice consecutively, the resulting contract, with certain exceptions, must have an unlimited term. With certain exceptions, an employer must pay severance to an employee where a labor contract is terminated or expires. In addition, PRC governmental authorities have continued to introduce various new labor-related regulations since the effectiveness of the Labor Contract Law.</w:t>
      </w:r>
    </w:p>
    <w:p>
      <w:pPr>
        <w:spacing w:after="0" w:line="19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Under the PRC Social Insurance Law and the Administrative Measures on Housing Fund, employees are required to participate in pension insurance, work-related injury insurance, medical insurance, unemployment insurance, maternity insurance and housing funds and employers are required, together with their employees or separately, to pay the social insurance premiums and housing funds for their employees.</w:t>
      </w:r>
    </w:p>
    <w:p>
      <w:pPr>
        <w:spacing w:after="0" w:line="176"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These laws designed to enhance labor protection tend to increase our labor costs. In addition, as the interpretation and implementation of these regulations are still evolving, our employment practices may not be at all times be deemed in compliance with the regulations. As a result, we could be subject to penalties or incur significant liabilities in connection with labor disputes or investigations, which could have a material adverse effect on our results of operations and financial condition.</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You may experience difficulties in effecting service of legal process, enforcing foreign judgments or bringing original actions in China based on United States or other foreign laws against us and our management.</w:t>
      </w:r>
    </w:p>
    <w:p>
      <w:pPr>
        <w:spacing w:after="0" w:line="15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conduct a substantial portion of our operations in China and a substantial portion of our assets are located in China. In addition, some of our directors and executive officers reside within China. As a result, it may not be possible to effect service of process within the United States or elsewhere outside China upon some of our directors and senior executive officers, including with respect to matters arising under U.S. federal securities laws or applicable state securities laws. It would also be difficult for investors to bring an original lawsuit against us or our directors or executive officers before a Chinese court based on U.S. federal securities laws or otherwise. Moreover, China does not have treaties with the United States or many other countries providing for the reciprocal recognition and enforcement of judgment of courts.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may be difficult for overseas regulators to conduct investigation or collect evidence within China.</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The Confidentiality and Archives Management Provisions which took effect on March 31, 2023, provides that the investigation and evidence collection relating to the oversea securities offering and listing of PRC domestic companies by the overseas securities regulatory authorities and other relevant authorities must be conducted through a cross-border cooperation mechanism for supervision and administration, and that the PRC domestic companies must obtain prior consent from the CSRC or other relevant authorities before cooperating with such overseas authorities in connection with the relevant inspections or investigations or providing relevant documents to such overseas securities regulatory authorities or relevant authorities. The inability for an overseas securities regulator to directly conduct investigation or evidence collection activities within China may further increase difficulties faced by you in protecting your interests.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PRC enterprise income tax law could adversely affect our business and our net income.</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On March 16, 2007, the National People’s Congress of the PRC passed the revised Enterprise Income Tax Law (or EIT Law), which took effect on of January 1, 2008 and was subsequently amended on February 24, 2017 and December 29, 2018, respectively. The EIT Law imposes a unified income tax rate of 25% on all companies established in China. Under the EIT Law, an enterprise established outside of the PRC with “de facto management bodies” within the PRC is considered as a resident enterprise and will normally be subject to the enterprise income tax at the rate of 25% on its global income. The EIT Law, however, does not define the term “de facto management bodies.” If the PRC tax authorities subsequently determine that we should be classified as a resident enterprise, then our global income will be subject to PRC income tax at a tax rate of 25%.</w:t>
      </w:r>
    </w:p>
    <w:p>
      <w:pPr>
        <w:spacing w:after="0" w:line="18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With the introduction of the EIT Law, China has resumed imposition of a withholding tax (10% in the absence of a bilateral tax treaty or new domestic regulation reducing such withholding tax rate to a lower rate). Per the Double Tax Avoidance Arrangement between Hong Kong and Mainland China, a Hong Kong company as the investor, which is considered a “non-resident enterprise” under the EIT Law, may enjoy the reduced withholding tax rate of 5%, subject to certain conditions and requirements. As China Net HK is the sole shareholder of Rise King WFOE, substantially all of our income will derive from dividends we receive from Rise King WFOE through China Net HK. When we declare dividends from the income in the PRC, we cannot assure whether such dividends may be taxed at a reduced withholding tax rate of 5% per the Double Tax Avoidance Arrangement between Hong Kong and Mainland China as the PRC tax authorities may regard our China Net HK as a shell company formed only for tax purposes and still deem Rise King WFOE in the PRC as the subsidiary directly owned by us. Based on the Notice on Certain Issues with respect to the Enforcement of Dividend Provisions in Tax Treaties, issued on February 20, 2009 by the State Administration of Taxation, if the relevant PRC tax authorities determine, in their discretion, that a company benefits from such reduced income tax rate due to a structure or arrangement that is primarily tax-driven, such PRC tax authorities may adjust the preferential tax treatment.</w:t>
      </w:r>
    </w:p>
    <w:p>
      <w:pPr>
        <w:spacing w:after="0" w:line="192"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Investors should note that the EIT Law provides only a framework of the enterprise tax provisions, leaving many details on the definitions of numerous terms as well as the interpretation and specific applications of various provisions unclear and unspecified. Any increase in our tax rate in the future could have a material adverse effect on our financial conditions and results of operations.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Under the EIT Law, we may be classified as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resident enterprise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 China. Such classification will likely result in unfavorable tax consequences to us and holders of our securities.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Under the EIT Law, an enterprise established outside of China with its “de facto management body” in China is considered a “resident enterprise,” meaning that it can be treated the same as a Chinese enterprise for enterprise income tax purposes. The implementing rules of the EIT Law defines “de facto management body” as an organization that exercises “substantial and overall management and control over the production and operations, personnel, accounting, and properties” of an enterprise. Currently no interpretation or application of the EIT Law and its implementing rules is available, therefore it is unclear how tax authorities will determine tax residency based on the facts of each case.</w:t>
      </w:r>
    </w:p>
    <w:p>
      <w:pPr>
        <w:spacing w:after="0" w:line="183"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China Net is a “resident enterprise” for PRC enterprise income tax purposes, a number of unfavorable PRC tax consequences could follow. First, we will be subject to enterprise income tax at a rate of 25% on our worldwide income as well as PRC enterprise income tax reporting obligations. This would mean that income such as interest on offering proceeds and other non-China source income would be subject to PRC enterprise income tax at a rate of 25%. Second, although under the EIT Law and its implementing rules dividends paid to us by our PRC subsidiaries would qualify as “tax-exempt income,” we cannot guarantee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a 10% withholding tax will be imposed on dividends we pay to our non-PRC shareholders.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The non-U.S. activities of our non-U.S. subsidiaries and VIEs may be subject to U.S. taxation.</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conduct a substantial portion of our business through our operating subsidiaries and VIEs in China and are subject to income tax in the PRC. ZW Data Action Technologies Inc. is a Nevada corporation and is subject to income tax in the United States. The Tax Cuts and Jobs Act (the “U.S. Tax Reform”) was signed into law on December 22, 2017, which significantly modified the U.S. Internal Revenue Code by, among other things, reducing the statutory U.S. federal corporate income tax rate from 35% to 21% for taxable years beginning after December 31, 2017; limiting and/or eliminating many business deductions; migrating the U.S. to a territorial tax system with a one-time transition tax on a mandatory deemed repatriation of previously deferred foreign earnings of certain foreign subsidiaries; subject to certain limitations, generally eliminating U.S. corporate income tax on dividends from foreign subsidiaries; and providing for new taxes on certain foreign earnings.</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U.S. Tax Reform includes provisions for a new tax on global intangible low-taxed income (“GILTI”) effective for tax years of non-U.S. corporations beginning after December 31, 2017. The GILTI provisions impose a tax on foreign income in excess of a deemed return on tangible assets of controlled foreign corporations (“CFCs”), subject to the possible use of foreign tax credits and a deduction equal to 50 percent to offset the income tax liability, subject to some limitations. The new GILTI tax would be imposed on us when our subsidiaries and VIEs that are CFCs generate income that is subject to Subpart F of the U.S. Internal Revenue Code beginning after December 31, 2017, and any such resulting U.S. corporate income tax imposed on us would reduce our consolidated net income.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Nasdaq may delist our securities from quotation on its exchange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ability to make transactions in our securities and subject us to additional trading restrictions.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traded on the Nasdaq Stock Market LLC (“Nasdaq”), a national securities exchange.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4" w:name="page55"/>
    <w:bookmarkEnd w:id="54"/>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In the past, we received notices from the Listing Qualifications Department of The Nasdaq Stock Market LLC (“Nasdaq”) notifying us that due to our failure to timely file our Annual Report on Form 10-K and our Quarterly Report on Form 10-Q, we were not in compliance with Nasdaq’s continued listing requirements. We have since remedied these deficiencies and regained compliance and those matters were closed.</w:t>
      </w:r>
    </w:p>
    <w:p>
      <w:pPr>
        <w:spacing w:after="0" w:line="17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On March 26, 2026, we received a notice (the “Notice”) from Nasdaq indicating that our common stock, failed to comply with the $1.00 minimum bid price required for continued listing on The Nasdaq Capital Market under Nasdaq Listing Rule 5550(a)(2) (the “Bid Price Requirement”) based upon the closing bid price of the common stock for the previous 30 consecutive business days. The Nasdaq rules provided the Company a compliance period of 180 calendar days from the Notice, or until September 22, 2026, to regain compliance with Rule 5550(a)(2). If at any time before September 22, 2026, the bid price of the common stock closes at $1.00 per share or more for a minimum of 10 consecutive business days, Nasdaq will provide written confirmation that we have achieved compliance. In the event we do not regain compliance, we may be eligible for additional time. To qualify, we will be required to meet the continued listing requirement for market value of publicly held shares and all other initial listing standards for The Nasdaq Capital Market, with the exception of the bid price requirement, and will need to provide written notice of our intention to cure the deficiency during the second compliance period, by effecting a reverse stock split, if necessary. If we meet these requirements, Nasdaq will inform us that we have been granted an additional 180 calendar days. However, if it appears to Nasdaq that we will not be able to cure the deficiency, or if we are otherwise not eligible, Nasdaq will provide notice that our securities will be subject to delisting. If compliance cannot be demonstrated by September 22, 2026, Nasdaq will provide written notification that our Common Stock will be delisted. At that time, we may appeal Nasdaq’s determination to a Hearings Panel.</w:t>
      </w:r>
    </w:p>
    <w:p>
      <w:pPr>
        <w:spacing w:after="0" w:line="19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Bid Price Requirement or will otherwise continue being able to be in compliance with other Nasdaq continued listing criteria. If Nasdaq delists our Common Stock from trading on its exchange, we could face significant material adverse consequences including:</w:t>
      </w:r>
    </w:p>
    <w:p>
      <w:pPr>
        <w:spacing w:after="0" w:line="176"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Stock is a “penny stock” which will require brokers trading in our Common Stock to adhere to more stringent rules and possibly resulting in a reduced level of trading activity in the secondary trading market for our Common Stock;</w:t>
      </w:r>
    </w:p>
    <w:p>
      <w:pPr>
        <w:spacing w:after="0" w:line="139" w:lineRule="exact"/>
        <w:rPr>
          <w:rFonts w:ascii="Times New Roman" w:cs="Times New Roman" w:eastAsia="Times New Roman" w:hAnsi="Times New Roman"/>
          <w:sz w:val="17"/>
          <w:szCs w:val="17"/>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4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Insiders have substantial control over us, and they could delay or prevent a change in our corporate control even if our other stockholders wanted it to occur.</w:t>
      </w:r>
    </w:p>
    <w:p>
      <w:pPr>
        <w:spacing w:after="0" w:line="15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hold approximately 12.3% of our outstanding Common Stock. Accordingly, these stockholders are able to exert substantial influence over all matters requiring stockholder approval, including the election of directors and approval of significant corporate transactions. This could delay or prevent an outside party from acquiring or merging with us even if our other stockholders wanted it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may not be sufficient liquidity in the market for our securities in order for investors to sell their securities.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There is currently only a limited public market for our Common Stock and there can be no assurance that a trading market will develop further or be maintained in the future. As of March 30, 2026, the closing trade price of our Common Stock was $0.68 per share. As of March 31, 2026, we had approximately 616 shareholders of record of our Common Stock, not including shares held in street name. In addition, during the past two fiscal years our Common Stock has had a trading range with a low price of $1.18 per share and a high price of $4.40 per share.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may be volatile.</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been and will likely continue to be highly volatile, as is the stock market in general. Some of the factors that may materially affect the market price of our Common Stock are beyond our control, such as changes in financial estimates by industry and securities analysts, conditions or trends in the industry in which we operate or sales of our common stock. These factors may materially adversely affect the market price of our Common Stock, regardless of our performance. In addition, the public stock markets have experienced extreme price and trading volume volatility particularly for companies whose primary operations are located in the PRC. This volatility has significantly affected the market prices of securities of many companies for reasons frequently unrelated to the operating performance of the specific companies. These broad market fluctuations may adversely affect the market price of our Common Stock.</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additional capital and may sell additional securities or other equity securities or incur indebtedness, which could result in additional dilution to our shareholders or increase our debt service obligations.</w:t>
      </w:r>
    </w:p>
    <w:p>
      <w:pPr>
        <w:spacing w:after="0" w:line="15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may require additional cash resources due to changed business conditions or other future developments, including any investments or acquisitions we may decide to pursue. If our cash resources are insufficient to satisfy our cash requirements, we may seek to sell additional equity or debt securities or obtain a credit facility. The sale of additional equity securities or equity-linked debt securities could result in additional dilution to our shareholders.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have not paid dividends in the past and do not expect to pay dividends in the future, and any return on investment may be limited to the value of our stock.</w:t>
      </w:r>
    </w:p>
    <w:p>
      <w:pPr>
        <w:spacing w:after="0" w:line="159" w:lineRule="exact"/>
        <w:rPr>
          <w:sz w:val="20"/>
          <w:szCs w:val="20"/>
          <w:color w:val="auto"/>
        </w:rPr>
      </w:pPr>
    </w:p>
    <w:p>
      <w:pPr>
        <w:ind w:right="580" w:firstLine="486"/>
        <w:spacing w:after="0" w:line="312" w:lineRule="auto"/>
        <w:rPr>
          <w:sz w:val="20"/>
          <w:szCs w:val="20"/>
          <w:color w:val="auto"/>
        </w:rPr>
      </w:pPr>
      <w:r>
        <w:rPr>
          <w:rFonts w:ascii="Times New Roman" w:cs="Times New Roman" w:eastAsia="Times New Roman" w:hAnsi="Times New Roman"/>
          <w:sz w:val="17"/>
          <w:szCs w:val="17"/>
          <w:color w:val="auto"/>
        </w:rPr>
        <w:t>We have never paid any cash dividends on our Common Stock and do not anticipate paying any cash dividends on our Common Stock in the foreseeable future and any return on investment may be limited to the value of our stock. We plan to retain any future earning to finance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Techniques employed by manipulative short sellers in Chinese small cap stocks may drive down the market price of our common stock.</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supposedly,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therefore in the short seller’s best interests for the price of the stock to decline, many short sellers (sometime known as “disclosed shorts”) publish, or arrange for the publication of, negative opinions regarding the relevant issuer and its business prospects in order to create negative market momentum and generate profits for themselves after selling a stock short. While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 and independent research analysts. These short attacks have, in the past, led to selling of shares in the market, on occasion in large scale and broad base. Issuers with business operations based in China and who have limited trading volumes and are susceptible to higher volatility levels than U.S. domestic large-cap stocks, can be particularly vulnerable to such short attacks.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6" w:name="page57"/>
    <w:bookmarkEnd w:id="56"/>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These short seller publications are not regulated by any governmental, self-regulatory organization or other official authority in the U.S., are not subject to the certification requirements imposed by the Securities and Exchange Commission in Regulation AC (Regulation Analyst Certification) and, accordingly, the opinions they express may be based on distortions of actual facts or, in some cases, fabrications of facts. In light of the limited risks involved in publishing such information, and the enormous profit that can be made from running just one successful short attack, unless the short sellers become subject to significant penalties, it is more likely than not that disclosed shorts will continue to issue such reports.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While we intend to strongly defend our public filings against any such short seller attacks, oftentimes we are constrained, either by principles of freedom of speech, applicable state law (often called “Anti-SLAPP statutes”), or issues of commercial confidentiality, in the manner in which we can proceed against the relevant short seller. You should be aware that in light of the relative freedom to operate that such persons enjoy – oftentimes blogging from outside the U.S. with little or no assets or identity requirements – should we be targeted for such an attack, our stock will likely suffer from a temporary, or possibly long term, decline in market price should the rumors created not be dismissed by market participants.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If we become directly subject to the scrutiny involving U.S. listed Chinese companies, we may have to expend significant resources to investigate and/or defend the matter, which could harm our business operations, stock price and reputation.</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and/or SEC enforcement actions that are conducting internal and/or external investigations into the allegations. If we become the subject of any such scrutiny, whether any allegations are true or not, we may have to expend significant resources to investigate such allegations and/or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Geopolitical conflicts involving Iran, military actions in the Middle East, and the war in Ukraine may adversely affect global economic conditions and cause significant volatility in the trading price of our common stock.</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heightened military conflict involving the United States, Israel, and Iran, which escalated significantly in February 2026, has led to profound instability in global financial and energy markets. These events, including the closure of strategic airspaces and critical maritime routes such as the Strait of Hormuz and the Red Sea, have contributed to a dramatic increase in the price of oil and gas and created widespread market uncertainty. The ongoing disruptions caused by these military actions, and the potential for further escalation, could result in protracted and severe damage to the global economy and investment climate.</w:t>
      </w:r>
    </w:p>
    <w:p>
      <w:pPr>
        <w:spacing w:after="0" w:line="183"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Furthermore, the continuing war in Ukraine and the resulting sanctions levied by the United States, the European Union, and other nations against Russia continue to impact global financial markets. The extent and duration of these military actions in the Middle East and Eastern Europe, as well as the resulting sanctions and market disruptions, are impossible to predict but are expected to remain substantial.</w:t>
      </w:r>
    </w:p>
    <w:p>
      <w:pPr>
        <w:spacing w:after="0" w:line="17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Such geopolitical instability often leads to broad sell-offs in the equity markets and heightened investor sensitivity to risk. Consequently, these developments may materially and adversely affect the market price of our common stock, regardless of our actual operating performance. We cannot predict the ultimate progress or outcome of these situations, and any prolonged unrest or intensified military activities could have a material adverse effect on the global economy, which in turn could negatively impact our financial condition and the value of our securities.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0" w:lineRule="exact"/>
        <w:rPr>
          <w:sz w:val="20"/>
          <w:szCs w:val="20"/>
          <w:color w:val="auto"/>
        </w:rPr>
      </w:pPr>
    </w:p>
    <w:p>
      <w:pPr>
        <w:spacing w:after="0" w:line="270"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We face risks associated with cybersecurity. For additional details on risks from cybersecurity threats, please refer to “Item 1A. Risk Factors </w:t>
      </w:r>
      <w:r>
        <w:rPr>
          <w:rFonts w:ascii="Times New Roman" w:cs="Times New Roman" w:eastAsia="Times New Roman" w:hAnsi="Times New Roman"/>
          <w:sz w:val="18"/>
          <w:szCs w:val="18"/>
          <w:i w:val="1"/>
          <w:iCs w:val="1"/>
          <w:color w:val="auto"/>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occurrence of security breaches and cyber-attacks could negatively impact our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Privacy and data security concerns, laws, or other regulations could expose us to liability or impair our operations.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purpose of our cybersecurity program is to assess, identify, manage and mitigate cybersecurity risk while supporting the achievement of our business objectives. Under our comprehensive risk management program, the Board of Directors of the Company maintains oversight of the most significant risks facing the Company, including cybersecurity risks, while senior management is responsible for the identification and prioritization of risks that are material to our business, corresponding risk-mitigation efforts and day-to-day management of our risk management program. The full Board of Directors retains oversight over management’s cybersecurity efforts. At least annually, and often more frequently, our Board of Directors receives cybersecurity briefings from senior executives, including, when appropriate, executives focused on cybersecurity matters.</w:t>
      </w:r>
    </w:p>
    <w:p>
      <w:pPr>
        <w:spacing w:after="0" w:line="187" w:lineRule="exact"/>
        <w:rPr>
          <w:sz w:val="20"/>
          <w:szCs w:val="20"/>
          <w:color w:val="auto"/>
        </w:rPr>
      </w:pPr>
    </w:p>
    <w:p>
      <w:pPr>
        <w:ind w:right="220" w:firstLine="486"/>
        <w:spacing w:after="0" w:line="255" w:lineRule="auto"/>
        <w:rPr>
          <w:sz w:val="20"/>
          <w:szCs w:val="20"/>
          <w:color w:val="auto"/>
        </w:rPr>
      </w:pPr>
      <w:r>
        <w:rPr>
          <w:rFonts w:ascii="Times New Roman" w:cs="Times New Roman" w:eastAsia="Times New Roman" w:hAnsi="Times New Roman"/>
          <w:sz w:val="18"/>
          <w:szCs w:val="18"/>
          <w:color w:val="auto"/>
        </w:rPr>
        <w:t>Our companywide cybersecurity policy sets the framework for our approach to cybersecurity. Each business unit and our corporate headquarters designates individuals with appropriate qualifications and experience to be responsible for addressing cybersecurity matters, including assessing, identifying and managing risks from cybersecurity threats, with a direct reporting line to senior management. Under our approach to cybersecurity, each business unit designs and operates its own information and cybersecurity program tailored to its market, customer requirements, regulatory requirements and threats. Our cybersecurity policy and procedures are designed to ensure senior management receives timely and adequate information regarding cybersecurity matters, including threats and incident response, as appropriate to the matter. Our policies and procedures are also designed to oversee and identify material cybersecurity risks related to third-party vendors and service providers.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771" w:gutter="0" w:footer="0" w:header="0"/>
        </w:sectPr>
      </w:pPr>
    </w:p>
    <w:bookmarkStart w:id="57" w:name="page58"/>
    <w:bookmarkEnd w:id="57"/>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As part of our approach to cyber risk management, we regularly perform internal audits of internal processes and controls relating to cybersecurity. From time to time, as appropriate under our overall cybersecurity program, we engage third-party experts to support the assessment of cyber related risks, including to conduct cyber penetration testing.</w:t>
      </w:r>
    </w:p>
    <w:p>
      <w:pPr>
        <w:spacing w:after="0" w:line="176"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To its knowledge, the Company has not experienced a material cybersecurity breach within the last three years, nor identified any risks from cybersecurity threats that have materially affected us, including our business strategy, results of operations or financial condition.</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location of real property we currently lease. We do not own any real property.</w:t>
      </w:r>
    </w:p>
    <w:p>
      <w:pPr>
        <w:spacing w:after="0" w:line="221" w:lineRule="exact"/>
        <w:rPr>
          <w:sz w:val="20"/>
          <w:szCs w:val="20"/>
          <w:color w:val="auto"/>
        </w:rPr>
      </w:pPr>
    </w:p>
    <w:p>
      <w:pPr>
        <w:ind w:left="400"/>
        <w:spacing w:after="0"/>
        <w:tabs>
          <w:tab w:leader="none" w:pos="59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1360" w:hanging="830"/>
        <w:spacing w:after="0"/>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8/F. 29 Des Voeux Road Central, Central, Hong Kong</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property listed in Item 1 above is our principal executive office and is used by all of our business segments.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and equipment are well maintained and in good operating condition and are sufficient to meet our needs for the foreseeable future.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COMMON EQUITY, RELATED STOCKHOLDER MATTERS AND ISSUER PURCHASES</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OF EQUITY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Common Stock has been listed on the Nasdaq Capital Market under the symbol “CNET” since October 29, 2013. Prior to that time, from September 14, 2010 through October 28, 2013, our Common Stock was listed on Nasdaq Global Market under the symbol “CNET”. Prior to that time, from March 4, 2010 through September 13, 2010, our Common Stock was listed on the NYSE AMEX under the trading symbol “CNET.” Prior to that time, our Common Stock was quoted on the OTC Bulletin Board (“OTCBB”) under the trading symbol “EMZG”, until August 14, 2009, when our ticker symbol was changed to “CHNT”.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8" w:name="page59"/>
    <w:bookmarkEnd w:id="58"/>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approved a reverse stock split of the Company’s issued and outstanding shares of common stock, par value $0.001 per share (the “Common Stock”) at a ratio of 1-for-4 (the “Reverse Stock Split”). The Reverse Stock Split became effective on September 30, 2024 (the “Effective Date”). As a result, the number of shares of the Company’s authorized Common Stock was reduced from 50,000,000 shares to 12,500,000 shares and the issued and outstanding number of shares of the Common Stock was correspondingly decreased. The Reverse Stock Split has no effect on the par value of the Company’s Common Stock or authorized shares of preferred stock. When the Reverse Stock Split became effective, each four shares of issued and outstanding Common Stock were converted into one newly issued and outstanding share of Common Stock. No fractional shares were issued in connection with the Reverse Stock Split. Any fractional shares of Common Stock that would have otherwise resulted from the Reverse Stock Split were rounded up to the nearest full share. No cash or other consideration was paid in connection with any fractional shares that would otherwise have resulted from the Reverse Stock Split. As a result of the Reverse Stock Split, 8,704,506 shares of Common Stock that were issued and outstanding at September 30, 2024 was reduced to 2,301,205 shares of Common Stock (taking into account the rounding of fractional shares).</w:t>
      </w:r>
    </w:p>
    <w:p>
      <w:pPr>
        <w:spacing w:after="0" w:line="19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Except where otherwise specified, all number of shares, number of warrants, share prices, exercise prices and per share data in the condensed consolidated financial statements and notes to the condensed consolidated financial statements have been retroactively restated as if the Reverse Stock Split occurred at the beginning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there were 616 record holders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never paid any dividends on our Common Stock and we plan to retain earnings, if any, for use in the development and growth of our business. Payment of future dividends, if any, will be at the discretion of the board of directors after taking into account various factors, including current financial condition, operating results and current and anticipated cash needs. If we ever determine to pay a dividend, we may experience difficulties in completing the administrative procedures necessary to obtain and remit foreign currency from China for the payment of such dividends from the profits of our PRC subsidiaries and VIEs.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 for the aggregate information regarding our equity compensation plans in effect on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our fiscal year ended December 31, 2025, neither we nor any “affiliated purchaser” (as defined in Rule 10b-18(a)(3) under the Exchange Act) purchased any shares of our Common Stock, the only class of our equity securities registered pursuant to Section 12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Any previous sales of unregistered securities by the Company have been previously disclosed in our reports on Form 10-Q or Form 8-K, as applicable, filed with the SEC.</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audited consolidated financial statements and the related notes to the consolidated financial statements included elsewhere in this Form 10-K. Our audited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similar language. All forward-looking statements included in this document are based on information available to us on the date hereof,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Form 10-K. Readers are cautioned not to place undue reliance on these forward-looking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9" w:name="page60"/>
    <w:bookmarkEnd w:id="59"/>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had historically been unable to inspect our auditor in relation to their audit work performed for our financial statements and the inability of the PCAOB to conduct inspections over our auditor has deprived our investors with the benefits of such inspections.</w:t>
      </w:r>
    </w:p>
    <w:p>
      <w:pPr>
        <w:spacing w:after="0" w:line="17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8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19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2022.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and our operating subsidiaries outside of mainland China, is primarily engaged in providing Internet advertising, precision marketing, influencer marketing services as well as the related data and technical services to SMEs. The Company also develops blockchain enabled web/mobile applications and provides software solutions, i.e., Software-as-a-Service (“SaaS”) services for clients and engages in IP licensing services. As part of an ongoing strategic shift, the Company’s operations are now primarily conducted outside mainland China.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Through our operating subsidiaries and VIEs, we primarily operate a one-stop services for our clients on our Omni-channel advertising, precision marketing and data analysis management system. We offer a variety channels of advertising and marketing services through this system, which primarily include distribution of the right to use search engine marketing services we purchased from key search engines, influencer marketing services, digital advertising and marketing services as well as provision of other related value-added data and technical services to maximize market exposure and effectiveness for our clients. From early 2022, we started to introduce our new SaaS services to customers. The SaaS services were designated in providing one-stop blockchain-powered enterprise management solutions via our BIF platform in forms of unique NFT generations, data record, share and storage modules subscriptions etc.</w:t>
      </w:r>
    </w:p>
    <w:p>
      <w:pPr>
        <w:spacing w:after="0" w:line="18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With over 17 years of experience serving China’s SME sector, the Company has developed deep operational insight into how businesses acquire customers, generate revenue, and scale across markets. Building on this foundation,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Through these efforts, the Company aims to improve service efficiency and support revenue growth for its SME clients.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critical accounting policies and management estimates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of America (“U.S. GAAP”) and include the accounts of our company, and all of our subsidiaries and VIEs. All transactions and balances between our company and our subsidiaries and VIEs have been eliminated upon consolidation.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We considered the policies discussed below to be critical to an understanding of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conduct substantially all of our operations through our PRC operating subsidiaries and VIEs, PRC is the primary economic environment in which we operate. The exchange rates used to translate amounts in Renminbi (“RMB”), the functional currency of the PRC, into our reporting currency, the United States Dollar (“U.S. dollar” or “US$”) for the purposes of preparing our consolidated financial statements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10"/>
        </w:trPr>
        <w:tc>
          <w:tcPr>
            <w:tcW w:w="7320" w:type="dxa"/>
            <w:vAlign w:val="bottom"/>
          </w:tcPr>
          <w:p>
            <w:pPr>
              <w:spacing w:after="0"/>
              <w:rPr>
                <w:sz w:val="18"/>
                <w:szCs w:val="18"/>
                <w:color w:val="auto"/>
              </w:rPr>
            </w:pP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7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7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1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7.0288</w:t>
            </w:r>
          </w:p>
        </w:tc>
        <w:tc>
          <w:tcPr>
            <w:tcW w:w="276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7.1884</w:t>
            </w:r>
          </w:p>
        </w:tc>
      </w:tr>
      <w:tr>
        <w:trPr>
          <w:trHeight w:val="432"/>
        </w:trPr>
        <w:tc>
          <w:tcPr>
            <w:tcW w:w="7320" w:type="dxa"/>
            <w:vAlign w:val="bottom"/>
          </w:tcPr>
          <w:p>
            <w:pPr>
              <w:spacing w:after="0"/>
              <w:rPr>
                <w:sz w:val="24"/>
                <w:szCs w:val="24"/>
                <w:color w:val="auto"/>
              </w:rPr>
            </w:pPr>
          </w:p>
        </w:tc>
        <w:tc>
          <w:tcPr>
            <w:tcW w:w="3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7320" w:type="dxa"/>
            <w:vAlign w:val="bottom"/>
          </w:tcPr>
          <w:p>
            <w:pPr>
              <w:spacing w:after="0"/>
              <w:rPr>
                <w:sz w:val="18"/>
                <w:szCs w:val="18"/>
                <w:color w:val="auto"/>
              </w:rPr>
            </w:pPr>
          </w:p>
        </w:tc>
        <w:tc>
          <w:tcPr>
            <w:tcW w:w="11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in the statements of operations and comprehensive loss</w:t>
            </w:r>
          </w:p>
        </w:tc>
        <w:tc>
          <w:tcPr>
            <w:tcW w:w="11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7.1429</w:t>
            </w:r>
          </w:p>
        </w:tc>
        <w:tc>
          <w:tcPr>
            <w:tcW w:w="276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rPr>
              <w:t>7.1217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ASC 360-10-35, long-lived assets, which include tangible long-lived assets and intangible long-lived assets, are reviewed for impairment whenever events or changes in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 If the carrying amount of an asset exceeds its estimated future undiscounted cash flows, an impairment loss is recognized for the difference between the carrying amount of the asset and its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ASC Topic 606 “Revenue from Contracts with Customers”, our revenues are recognized when control of the promised goods or services are transferred to our customers, in an amount that reflects the consideration we expected to be entitled to in exchange for those goods or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distribution of the right to use search engine marketing service, the blockchain platform subscription service and our IP licensing service we recognize revenues over time when we consider the services have been delivered to our customers, with the related benefits being simultaneously received and consumed by our customers. Revenues related to our influencer marketing services and internet advertising and marketing service are recognized based on when the marketing service is completed and accepted by our clients. For NFT generation service provided through our BIF platform, revenues are recognized based on a fixed price per NFT generation, when a NFT is generated, delivered and accepted by customers (“point in time”).</w:t>
      </w:r>
    </w:p>
    <w:p>
      <w:pPr>
        <w:spacing w:after="0" w:line="183"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all of our business segments, we recognize revenue on a gross basis, because we determine that we are a principal in the transaction, who controls the service before it is transferred to the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lease office spaces from unrelated parties during our normal course of business. We account for these leases in accordance with ASC Topic 842 “Leases”. Other than office spaces leases, we do not have any other contract that is or contains a lease under ASC Topic 842.</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lease contracts do not contain any option for us to extend or terminate the lease, and do not contain the option for us to purchase the underlying assets. Based on the noncancelable lease period in the contract, we consider contract-based, asset-based, market-based and entity-based factors to determine the term over which we are reasonably certain to extend the lease, and then determine the lease term of each contract. Our lease contracts only contain fixed lease payments and do not contain any residual value guarantee. Our lease contracts do not contain any nonlease component and are classified as operating leases in accordance with ASC Topic 842-10-25-3.</w:t>
      </w:r>
    </w:p>
    <w:p>
      <w:pPr>
        <w:spacing w:after="0" w:line="183" w:lineRule="exact"/>
        <w:rPr>
          <w:sz w:val="20"/>
          <w:szCs w:val="20"/>
          <w:color w:val="auto"/>
        </w:rPr>
      </w:pPr>
    </w:p>
    <w:p>
      <w:pPr>
        <w:jc w:val="both"/>
        <w:ind w:right="460" w:firstLine="486"/>
        <w:spacing w:after="0" w:line="289" w:lineRule="auto"/>
        <w:rPr>
          <w:sz w:val="20"/>
          <w:szCs w:val="20"/>
          <w:color w:val="auto"/>
        </w:rPr>
      </w:pPr>
      <w:r>
        <w:rPr>
          <w:rFonts w:ascii="Times New Roman" w:cs="Times New Roman" w:eastAsia="Times New Roman" w:hAnsi="Times New Roman"/>
          <w:sz w:val="17"/>
          <w:szCs w:val="17"/>
          <w:color w:val="auto"/>
        </w:rPr>
        <w:t>Our office spaces lease contracts with a duration of twelve months or less meet the definition of short-term leases under ASC Topic 842. As an accounting policy, we elected not to recognize right-of-use asset and related lease liability to these short-term leases. Instead, we recognized the lease payments of these short-term leases in our consolidated statements of operations and comprehensive loss on a straight-line basis over the lease term.</w:t>
      </w:r>
    </w:p>
    <w:p>
      <w:pPr>
        <w:spacing w:after="0" w:line="15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the implicit rates of our leases cannot be readily determined, in accordance with ASC Topic 842-20-30-3, we then use our incremental borrowing rate as the discount rate to determine the present value of our lease payments for each of our lease contracts with a duration of over twelve months. The discount rate used by us was determined based on the interest rate expected to be used by the commercial banks in the PRC for long-term loans with the same maturity terms as the respective lease contracts at lease inception, if lent to our company on a collateralized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issued or adopted accounting standards</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The amendments in this ASU require the measurement and recognition of expected credit losses for financial assets held at amortized cost. The amendments in this ASU replace the existing incurred loss impairment model with an expected loss methodology, which will result in more timely recognition of credit losses. In November 2018, the FASB issued ASU No. 2018-19, “Codification Improvements to Topic 326, Financial Instruments-Credit Losses”, which among other things, clarifies that receivables arising from operating leases are not within the scope of Subtopic 326-20. Instead, impairment of receivables arising from operating leases should be accounted for in accordance with Topic 842, Leases. For public entities, the amendments in these ASUs are effective for fiscal years beginning after December 15, 2019, including interim periods within those fiscal years. In November 2019, the FASB issued ASU No. 2019-10, “Financial Instruments-Credit Losses (Topic 326), Derivatives and Hedging (Topic 815), and Leases (Topic 842)-Effective date”, which deferred the effective date of this ASU until fiscal years beginning after December 15, 2022, including interim periods within those fiscal years, for SEC filers that are eligible to be smaller reporting companies under the SEC’s definition. Our company, as a SEC smaller reporting company, has adopted the amendments in this ASU from January 1, 2023. The adoption of this ASU did not have a material impact on our consolidated financial position and results of operations.</w:t>
      </w:r>
    </w:p>
    <w:p>
      <w:pPr>
        <w:spacing w:after="0" w:line="190"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the Company’s consolidated financial statement presentation and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for the periods indicated, of our consolidated results of operations. Our historical results presented below are not necessarily indicative of the results that may be expected for any future period. All amounts, except number of shares and per share data, are presented in thousands of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2"/>
        </w:trPr>
        <w:tc>
          <w:tcPr>
            <w:tcW w:w="54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14,993</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benefit/(expense) and noncontrolling interests</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ZW Data Action Technologies Inc.</w:t>
            </w:r>
          </w:p>
        </w:tc>
        <w:tc>
          <w:tcPr>
            <w:tcW w:w="2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(3,761)</w:t>
            </w: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9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0" w:type="dxa"/>
            <w:vAlign w:val="bottom"/>
          </w:tcPr>
          <w:p>
            <w:pPr>
              <w:spacing w:after="0"/>
              <w:rPr>
                <w:sz w:val="1"/>
                <w:szCs w:val="1"/>
                <w:color w:val="auto"/>
              </w:rPr>
            </w:pPr>
          </w:p>
        </w:tc>
      </w:tr>
      <w:tr>
        <w:trPr>
          <w:trHeight w:val="197"/>
        </w:trPr>
        <w:tc>
          <w:tcPr>
            <w:tcW w:w="54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2,655,963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2,021,492</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58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breakdown of our total revenues, disaggregated by type of services for the periods indicated, with inter-company transactions eliminated: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0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187"/>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16"/>
                <w:szCs w:val="16"/>
                <w:color w:val="auto"/>
              </w:rPr>
            </w:pPr>
          </w:p>
        </w:tc>
        <w:tc>
          <w:tcPr>
            <w:tcW w:w="190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expressed</w:t>
            </w:r>
          </w:p>
        </w:tc>
        <w:tc>
          <w:tcPr>
            <w:tcW w:w="700" w:type="dxa"/>
            <w:vAlign w:val="bottom"/>
          </w:tcPr>
          <w:p>
            <w:pPr>
              <w:spacing w:after="0"/>
              <w:rPr>
                <w:sz w:val="16"/>
                <w:szCs w:val="16"/>
                <w:color w:val="auto"/>
              </w:rPr>
            </w:pPr>
          </w:p>
        </w:tc>
      </w:t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400" w:type="dxa"/>
            <w:vAlign w:val="bottom"/>
          </w:tcPr>
          <w:p>
            <w:pPr>
              <w:spacing w:after="0"/>
              <w:rPr>
                <w:sz w:val="20"/>
                <w:szCs w:val="20"/>
                <w:color w:val="auto"/>
              </w:rPr>
            </w:pPr>
          </w:p>
        </w:tc>
        <w:tc>
          <w:tcPr>
            <w:tcW w:w="4200" w:type="dxa"/>
            <w:vAlign w:val="bottom"/>
            <w:gridSpan w:val="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percentages)</w:t>
            </w:r>
          </w:p>
        </w:tc>
        <w:tc>
          <w:tcPr>
            <w:tcW w:w="700" w:type="dxa"/>
            <w:vAlign w:val="bottom"/>
          </w:tcPr>
          <w:p>
            <w:pPr>
              <w:spacing w:after="0"/>
              <w:rPr>
                <w:sz w:val="20"/>
                <w:szCs w:val="20"/>
                <w:color w:val="auto"/>
              </w:rPr>
            </w:pPr>
          </w:p>
        </w:tc>
      </w:tr>
      <w:tr>
        <w:trPr>
          <w:trHeight w:val="209"/>
        </w:trPr>
        <w:tc>
          <w:tcPr>
            <w:tcW w:w="5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marketing service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the right to use search engine marketing service</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9,909</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 Services</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Total Revenues</w:t>
      </w:r>
      <w:r>
        <w:rPr>
          <w:rFonts w:ascii="Times New Roman" w:cs="Times New Roman" w:eastAsia="Times New Roman" w:hAnsi="Times New Roman"/>
          <w:sz w:val="18"/>
          <w:szCs w:val="18"/>
          <w:color w:val="auto"/>
        </w:rPr>
        <w:t>: Our total revenues decreased to approximately US$4.61 million for the year ended December 31, 2025 from approximately US$15.44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2024, which was primarily due to the winding down of our distribution of the right to use search engine marketing service in the PRC but increases in higher margin internet advertising and related marketing services such as influencer marketing and other digital marketing services outside of mainland China. As part of an ongoing strategic shift, the Company’s operations are now primarily conducted outside mainland China.</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derive the majority of our revenues from our internet advertising and related marketing services which includes our influencer marketing and digital marketing services outside of mainland China, all of which management considers as one aggregate business operation and relies upon the consolidated results of all operations in this business unit to make decisions about allocating resources and evaluating performance. Looking forward in 2026, we will continue to position our client focus outside of mainland China with an emphasis on higher margin internet advertising services and the blockchain and digital asset business. We will also be looking to acquire and build teams with businesses with AI capabilities and proprietary intellectual properties that enable more accurate marketing solutions and cost efficient content creation. In addition,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w:t>
      </w:r>
    </w:p>
    <w:p>
      <w:pPr>
        <w:spacing w:after="0" w:line="188" w:lineRule="exact"/>
        <w:rPr>
          <w:sz w:val="20"/>
          <w:szCs w:val="20"/>
          <w:color w:val="auto"/>
        </w:rPr>
      </w:pPr>
    </w:p>
    <w:p>
      <w:pPr>
        <w:ind w:left="500" w:right="14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advertising and related marketing revenues for the year ended December 31, 2025 was approximately US$3.69 million, compared with approximately US$4.78 million for the year ended December 31, 2024. The decrease was primarily due to a decline in customer demand and lower marketing spending.</w:t>
      </w:r>
    </w:p>
    <w:p>
      <w:pPr>
        <w:spacing w:after="0" w:line="175" w:lineRule="exact"/>
        <w:rPr>
          <w:rFonts w:ascii="Times New Roman" w:cs="Times New Roman" w:eastAsia="Times New Roman" w:hAnsi="Times New Roman"/>
          <w:sz w:val="18"/>
          <w:szCs w:val="18"/>
          <w:color w:val="auto"/>
        </w:rPr>
      </w:pPr>
    </w:p>
    <w:p>
      <w:pPr>
        <w:ind w:left="500" w:right="80" w:hanging="492"/>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distribution of the right to use search engine marketing service for the year ended December 31, 2025 was approximately US$0.05 million, compared with approximately US$9.91 million for the year ended December 31, 2024. The decrease was mainly due to the winding down of our distribution of the right to use search engine marketing service in the PRC, following sustained low to negative margins in this business segment for the past several years.</w:t>
      </w:r>
    </w:p>
    <w:p>
      <w:pPr>
        <w:spacing w:after="0" w:line="179"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from our IP services for the year ended December 31, 2025 was approximately US$0.26 million, compared with nil for the year ended December 31, 2024. The increase primarily resulted from the licensing of intellectual property acquired from Rahula.</w:t>
      </w:r>
    </w:p>
    <w:p>
      <w:pPr>
        <w:spacing w:after="0" w:line="161" w:lineRule="exact"/>
        <w:rPr>
          <w:rFonts w:ascii="Times New Roman" w:cs="Times New Roman" w:eastAsia="Times New Roman" w:hAnsi="Times New Roman"/>
          <w:sz w:val="18"/>
          <w:szCs w:val="18"/>
          <w:color w:val="auto"/>
        </w:rPr>
      </w:pPr>
    </w:p>
    <w:p>
      <w:pPr>
        <w:ind w:left="500" w:right="24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we generated an approximately US$0.62 million revenues from our Blockchain-based SaaS Services, compared with approximately US$0.75 million for the year ended December 31, 2024. For the year ended December 31, 2025, we engaged in the purchase and sale of mobile applications that incorporate blockchain-based functionalities.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Our cost of revenues primarily consists of search engine marketing resources purchased from key search engines, influencer agency costs, cost of marketing services, amortization of intellectual property cost, amortization of software platform development cost, costs relating to enhancing our blockchain-based SaaS services and other direct costs associated with providing our services. The following table sets forth our cost of revenues, disaggregated by type of services, by amount and gross profit ratio for the periods indicated, with inter-company transactions eliminated: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(Amounts expressed in thousands of US dollars, except percentages)</w:t>
            </w:r>
          </w:p>
        </w:tc>
        <w:tc>
          <w:tcPr>
            <w:tcW w:w="1260" w:type="dxa"/>
            <w:vAlign w:val="bottom"/>
            <w:tcBorders>
              <w:bottom w:val="single" w:sz="8" w:color="auto"/>
            </w:tcBorders>
          </w:tcPr>
          <w:p>
            <w:pPr>
              <w:spacing w:after="0"/>
              <w:rPr>
                <w:sz w:val="18"/>
                <w:szCs w:val="18"/>
                <w:color w:val="auto"/>
              </w:rPr>
            </w:pPr>
          </w:p>
        </w:tc>
      </w:tr>
      <w:tr>
        <w:trPr>
          <w:trHeight w:val="223"/>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GP ratio</w:t>
            </w:r>
          </w:p>
        </w:tc>
        <w:tc>
          <w:tcPr>
            <w:tcW w:w="16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GP ratio</w:t>
            </w:r>
          </w:p>
        </w:tc>
      </w:tr>
      <w:tr>
        <w:trPr>
          <w:trHeight w:val="209"/>
        </w:trPr>
        <w:tc>
          <w:tcPr>
            <w:tcW w:w="3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advertising and related marketing</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 of the right to use search</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engine marketing service</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IP Services</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14,993</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our total cost of revenues decreased to approximately US$4.26 million for the year ended December 31, 2025, compared with US$15.0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year ended December 31, 2024. Our cost of revenues primarily consists of search engine marketing resources purchased from key search engines, influencer agency costs, cost of marketing services, amortization of intellectual property cost, amortization of software platform development cost, costs relating to enhancing our blockchain-based SaaS services and other direct costs associated with providing our services. The decrease in our total cost of revenues for the year ended December 31, 2025 was primarily due to the decrease in costs associated with the distribution of the right to use search engine marketing service we purchased from key search engines, which was in line with the decrease in the related revenues as discussed in the revenues section above.</w:t>
      </w:r>
    </w:p>
    <w:p>
      <w:pPr>
        <w:spacing w:after="0" w:line="187" w:lineRule="exact"/>
        <w:rPr>
          <w:sz w:val="20"/>
          <w:szCs w:val="20"/>
          <w:color w:val="auto"/>
        </w:rPr>
      </w:pPr>
    </w:p>
    <w:p>
      <w:pPr>
        <w:ind w:left="500" w:right="60" w:hanging="492"/>
        <w:spacing w:after="0" w:line="258"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internet advertising and marketing service primarily consist of fees paid to service providers who support delivering media planning, creative development, and digital ad management services to our Hong Kong and overseas clients. Our costs also include the cost of operating our influencer marketing services which includes the fees for collaborating with various influencer agencies. For the year ended December 31, 2025 and 2024, our total cost of revenues for Internet advertising and marketing service was approximately US$3.47 million and US$4.31 million, respectively. The gross margin rate of this business category for the years ended December 31, 2025 and 2024 was 6% and 3%, respectively.</w:t>
      </w:r>
    </w:p>
    <w:p>
      <w:pPr>
        <w:spacing w:after="0" w:line="183" w:lineRule="exact"/>
        <w:rPr>
          <w:rFonts w:ascii="Times New Roman" w:cs="Times New Roman" w:eastAsia="Times New Roman" w:hAnsi="Times New Roman"/>
          <w:sz w:val="18"/>
          <w:szCs w:val="18"/>
          <w:color w:val="auto"/>
        </w:rPr>
      </w:pPr>
    </w:p>
    <w:p>
      <w:pPr>
        <w:ind w:left="500" w:right="20" w:hanging="492"/>
        <w:spacing w:after="0" w:line="254"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distribution of the right to use search engine marketing service was direct search engine resource consumed for the right to use search engine marketing service that we purchased from key search engines and distributed to our customers. We purchased these search engine resources from well-known search engines in China, for example, Baidu, Qihu 360 and Sohu (Sogou) etc. We purchased the resource in relatively large amounts under our own name at a relatively lower rate compared to the market rates. We charged our clients the actual cost they consumed on search engines for the use of this service and a premium at certain percentage of that actual consumed cost. For the year ended December 31, 2025, our total cost of revenues for distribution of the right to use search engine marketing service decreased to US$0.05 million, compared with US$9.84 million for last year. The decrease in costs for distribution of the right to use search engine marketing services was in line with the decrease in the related revenues as discussed in the revenues section above. Gross margin rate of this service for the year ended December 31, 2025 was 10%, compared with 0.4% last year.</w:t>
      </w:r>
    </w:p>
    <w:p>
      <w:pPr>
        <w:spacing w:after="0" w:line="188" w:lineRule="exact"/>
        <w:rPr>
          <w:rFonts w:ascii="Times New Roman" w:cs="Times New Roman" w:eastAsia="Times New Roman" w:hAnsi="Times New Roman"/>
          <w:sz w:val="18"/>
          <w:szCs w:val="18"/>
          <w:color w:val="auto"/>
        </w:rPr>
      </w:pPr>
    </w:p>
    <w:p>
      <w:pPr>
        <w:ind w:left="500" w:right="1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IP licensing services primarily consist of the amortized cost of the intellectual properties we acquired from Rahula. For the year ended December 31, 2025 and 2024, cost of our IP services was approximately US$0.19 million and nil, respectively. Gross margin rate of this business category was 26.5%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ind w:left="500" w:right="40" w:hanging="492"/>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and 2024, cost of our blockchain-based SaaS services was approximately US$0.56 million and US$0.84 million, respectively. Gross margin rate of this service for the year ended December 31, 2025 was 9.1% compared to -0.6% last year. Costs for our blockchain-based SaaS services consist of the amortized cost of our self-developed BIF platform and costs relating to the sale of mobile applications with blockchain-based functionalities.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foregoing, we incurred a gross profit of approximately US$0.35 million for the year ended December 31, 2025, compared with a gross profit of approximately US$0.45 million for the year ended December 31, 2024. Our overall gross margin rate for the years ended December 31,</w:t>
      </w:r>
    </w:p>
    <w:p>
      <w:pPr>
        <w:ind w:right="20"/>
        <w:spacing w:after="0" w:line="260" w:lineRule="auto"/>
        <w:rPr>
          <w:sz w:val="20"/>
          <w:szCs w:val="20"/>
          <w:color w:val="auto"/>
        </w:rPr>
      </w:pPr>
      <w:r>
        <w:rPr>
          <w:rFonts w:ascii="Times New Roman" w:cs="Times New Roman" w:eastAsia="Times New Roman" w:hAnsi="Times New Roman"/>
          <w:sz w:val="18"/>
          <w:szCs w:val="18"/>
          <w:color w:val="auto"/>
        </w:rPr>
        <w:t>2025 and 2024 was approximately 7.7% and 2.9%, respectively. The increase in overall gross margin were due to the overall increase in gross profit margin for all of our business segments.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research and development expenses and impairment on intangible assets. The following tables set forth our operating expenses, divided into their major categories by amount and as a percentage of our total revenues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7"/>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20" w:type="dxa"/>
            <w:vAlign w:val="bottom"/>
            <w:gridSpan w:val="8"/>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(Amounts expressed in thousands of US dollars, except</w:t>
            </w:r>
          </w:p>
        </w:tc>
      </w:tr>
      <w:tr>
        <w:trPr>
          <w:trHeight w:val="238"/>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1260" w:type="dxa"/>
            <w:vAlign w:val="bottom"/>
            <w:tcBorders>
              <w:bottom w:val="single" w:sz="8" w:color="auto"/>
            </w:tcBorders>
          </w:tcPr>
          <w:p>
            <w:pPr>
              <w:spacing w:after="0"/>
              <w:rPr>
                <w:sz w:val="20"/>
                <w:szCs w:val="20"/>
                <w:color w:val="auto"/>
              </w:rPr>
            </w:pPr>
          </w:p>
        </w:tc>
      </w:tr>
      <w:tr>
        <w:trPr>
          <w:trHeight w:val="191"/>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color w:val="auto"/>
                <w:w w:val="99"/>
              </w:rPr>
              <w:t>Percentage of</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Percentage of</w:t>
            </w:r>
          </w:p>
        </w:tc>
      </w:tr>
      <w:tr>
        <w:trPr>
          <w:trHeight w:val="234"/>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revenue</w:t>
            </w:r>
          </w:p>
        </w:tc>
      </w:tr>
      <w:tr>
        <w:trPr>
          <w:trHeight w:val="210"/>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Our operating expenses were approximately US$2.31 million and US$4.20 million for the years ended December 31, 2025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respectively.</w:t>
      </w:r>
    </w:p>
    <w:p>
      <w:pPr>
        <w:spacing w:after="0" w:line="159" w:lineRule="exact"/>
        <w:rPr>
          <w:sz w:val="20"/>
          <w:szCs w:val="20"/>
          <w:color w:val="auto"/>
        </w:rPr>
      </w:pPr>
    </w:p>
    <w:p>
      <w:pPr>
        <w:ind w:left="500" w:right="60" w:hanging="492"/>
        <w:spacing w:after="0" w:line="256"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 For the year ended December 31, 2025, our sales and marketing expenses was approximately nil, compared to approximately US$0.21 million in the previous year. Our sales and marketing expenses primarily consist of advertising expenses for brand development that we pay to different media outlets for the promotion and marketing of our advertising web portals and our services, staff salaries, staff benefits, performance bonuses, travelling expenses, communication expenses and other general office expenses of our sales department. Due to certain aspects of our business nature, the fluctuation of our sales and marketing expenses usually does not have a direct linear relationship with the fluctuation of our net revenues.</w:t>
      </w:r>
    </w:p>
    <w:p>
      <w:pPr>
        <w:spacing w:after="0" w:line="187" w:lineRule="exact"/>
        <w:rPr>
          <w:rFonts w:ascii="Times New Roman" w:cs="Times New Roman" w:eastAsia="Times New Roman" w:hAnsi="Times New Roman"/>
          <w:sz w:val="18"/>
          <w:szCs w:val="18"/>
          <w:color w:val="auto"/>
        </w:rPr>
      </w:pPr>
    </w:p>
    <w:p>
      <w:pPr>
        <w:ind w:left="500" w:right="240" w:hanging="492"/>
        <w:spacing w:after="0" w:line="255"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Our general and administrative expenses were approximately US$2.31 million and US$4.0 million for the years ended December 31, 2025 and 2024 respectively. Our general and administrative expenses primarily consist of salaries and benefits of management, accounting, human resources and administrative personnel, office rentals, depreciation of office equipment, allowance for doubtful accounts, professional service fees, maintenance, utilities and other general office expenses of our supporting and administrative departments. For the year ended December 31, 2025, the changes in our general and administrative expenses were primarily due to the following factors: (1) a decrease in share based compensation of approximately US$0.34 million, offset by (2) a decrease of approximately US$1.32 million in general departmental expenses and (3) a decrease of allowance for doubtful of accounts of approximately US$0.16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from operations: </w:t>
      </w:r>
      <w:r>
        <w:rPr>
          <w:rFonts w:ascii="Times New Roman" w:cs="Times New Roman" w:eastAsia="Times New Roman" w:hAnsi="Times New Roman"/>
          <w:sz w:val="18"/>
          <w:szCs w:val="18"/>
          <w:color w:val="auto"/>
        </w:rPr>
        <w:t>As a result of the foregoing, we incurred a net loss from operations of approximately US$1.95 million and US$3.76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2025 and 2024, respectively.</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For the year ended December 31, 2025, we recognized an approximately US$0.19 million interest income, which was primarily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interest we earned from the short-term loans we provided to unrelated parties during the year.</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on long-term investments: </w:t>
      </w:r>
      <w:r>
        <w:rPr>
          <w:rFonts w:ascii="Times New Roman" w:cs="Times New Roman" w:eastAsia="Times New Roman" w:hAnsi="Times New Roman"/>
          <w:sz w:val="18"/>
          <w:szCs w:val="18"/>
          <w:color w:val="auto"/>
        </w:rPr>
        <w:t>For the year ended December 31, 2025, we did not recognize any impairment loss on long-term investments.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we recognized approximately US$0.002 million in impairment on long-term investments which was related to the following: 1) our cash investments in our unconsolidated investee entities whose business activities had become dormant as of the end of fiscal 2024.</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disposal of subsidiaries: </w:t>
      </w:r>
      <w:r>
        <w:rPr>
          <w:rFonts w:ascii="Times New Roman" w:cs="Times New Roman" w:eastAsia="Times New Roman" w:hAnsi="Times New Roman"/>
          <w:sz w:val="18"/>
          <w:szCs w:val="18"/>
          <w:color w:val="auto"/>
        </w:rPr>
        <w:t>For the year ended December 31, 2025 and 2024, we recognized approximately nil and approximately US$0.02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gain on disposal of subsidiaries, respectively.</w:t>
      </w:r>
    </w:p>
    <w:p>
      <w:pPr>
        <w:spacing w:after="0" w:line="15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before income tax (benefit)/expense and noncontrolling interest: </w:t>
      </w:r>
      <w:r>
        <w:rPr>
          <w:rFonts w:ascii="Times New Roman" w:cs="Times New Roman" w:eastAsia="Times New Roman" w:hAnsi="Times New Roman"/>
          <w:sz w:val="18"/>
          <w:szCs w:val="18"/>
          <w:color w:val="auto"/>
        </w:rPr>
        <w:t>As a result of the foregoing, our loss before income tax (benefit)/expense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noncontrolling interest was approximately US$1.77 million and US$3.37 million for the years ended December 31, 2025 and 2024, respectively.</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(benefit)/expense: </w:t>
      </w:r>
      <w:r>
        <w:rPr>
          <w:rFonts w:ascii="Times New Roman" w:cs="Times New Roman" w:eastAsia="Times New Roman" w:hAnsi="Times New Roman"/>
          <w:sz w:val="18"/>
          <w:szCs w:val="18"/>
          <w:color w:val="auto"/>
        </w:rPr>
        <w:t>For the year ended December 31, 2025 and 2024, we recognized a deferred income tax expense of approximately US$0.001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US$0.40 million, respectively.</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w:t>
      </w:r>
      <w:r>
        <w:rPr>
          <w:rFonts w:ascii="Times New Roman" w:cs="Times New Roman" w:eastAsia="Times New Roman" w:hAnsi="Times New Roman"/>
          <w:sz w:val="18"/>
          <w:szCs w:val="18"/>
          <w:color w:val="auto"/>
        </w:rPr>
        <w:t>As a result of the foregoing, for the years ended December 31, 2025 and 2024, we incurred a net loss of approximately US$1.77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US$3.77 million, respectively.</w:t>
      </w:r>
    </w:p>
    <w:p>
      <w:pPr>
        <w:spacing w:after="0" w:line="15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attributable to ZW Data Action Technologies Inc.: </w:t>
      </w:r>
      <w:r>
        <w:rPr>
          <w:rFonts w:ascii="Times New Roman" w:cs="Times New Roman" w:eastAsia="Times New Roman" w:hAnsi="Times New Roman"/>
          <w:sz w:val="18"/>
          <w:szCs w:val="18"/>
          <w:color w:val="auto"/>
        </w:rPr>
        <w:t>Net loss attributable to ZW Data Action Technologies Inc. was approximately US$1.77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and US$3.76 million for the years ended December 31, 2025 and 2024, respectively.</w:t>
      </w:r>
    </w:p>
    <w:p>
      <w:pPr>
        <w:spacing w:after="0" w:line="155"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Transfer within Our Organization and the Related Restrictions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are a Nevada holding company with operations primarily conducted through our subsidiaries outside of mainland China, with limited operations in mainland China conducted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spacing w:after="0" w:line="18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transferred US$0.40 million in cash to our operating subsidiaries. For the year ended December 31, 2024, we transferred US$0.48 million in cash to our operating subsidiaries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our consolidated VIEs transferred US$0.09 million to our consolidated subsidiaries as repayment of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our consolidated VIEs transferred US$0.02 million to our consolidated subsidiaries as repayment of loans.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Other than the cash transfers above, no other assets were transferred within our organization for the years ended December 31, 2025 and 2024.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68" w:name="page69"/>
    <w:bookmarkEnd w:id="68"/>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Below table summarized the above cash transfers within our organization included in the cash flows statements of our Condensed Consolidating Schedules for the years ended December 31, 2025 and 2024, respectively, on page 28 under Risk Factors-Risks Relating to Regulation of Our Business and to Our Structure contained in Item 1A of this Annual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4160" w:type="dxa"/>
            <w:vAlign w:val="bottom"/>
            <w:tcBorders>
              <w:bottom w:val="single" w:sz="8" w:color="auto"/>
            </w:tcBorders>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11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3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44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2"/>
        </w:trPr>
        <w:tc>
          <w:tcPr>
            <w:tcW w:w="5980" w:type="dxa"/>
            <w:vAlign w:val="bottom"/>
          </w:tcPr>
          <w:p>
            <w:pPr>
              <w:spacing w:after="0"/>
              <w:rPr>
                <w:sz w:val="20"/>
                <w:szCs w:val="20"/>
                <w:color w:val="auto"/>
              </w:rPr>
            </w:pPr>
          </w:p>
        </w:tc>
        <w:tc>
          <w:tcPr>
            <w:tcW w:w="1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194"/>
        </w:trPr>
        <w:tc>
          <w:tcPr>
            <w:tcW w:w="5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transferred from/(to) companies within the organization presented 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provided by/(used in) investing activities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transferred (to)/from companies within the organization presented 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in)/provided by financing activities</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432"/>
        </w:trPr>
        <w:tc>
          <w:tcPr>
            <w:tcW w:w="5980" w:type="dxa"/>
            <w:vAlign w:val="bottom"/>
          </w:tcPr>
          <w:p>
            <w:pPr>
              <w:spacing w:after="0"/>
              <w:rPr>
                <w:sz w:val="24"/>
                <w:szCs w:val="24"/>
                <w:color w:val="auto"/>
              </w:rPr>
            </w:pPr>
          </w:p>
        </w:tc>
        <w:tc>
          <w:tcPr>
            <w:tcW w:w="4160" w:type="dxa"/>
            <w:vAlign w:val="bottom"/>
            <w:tcBorders>
              <w:bottom w:val="single" w:sz="8" w:color="auto"/>
            </w:tcBorders>
            <w:gridSpan w:val="7"/>
          </w:tcPr>
          <w:p>
            <w:pPr>
              <w:ind w:left="11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00" w:type="dxa"/>
            <w:vAlign w:val="bottom"/>
            <w:tcBorders>
              <w:bottom w:val="single" w:sz="8" w:color="auto"/>
            </w:tcBorders>
          </w:tcPr>
          <w:p>
            <w:pPr>
              <w:spacing w:after="0"/>
              <w:rPr>
                <w:sz w:val="24"/>
                <w:szCs w:val="24"/>
                <w:color w:val="auto"/>
              </w:rPr>
            </w:pPr>
          </w:p>
        </w:tc>
      </w:tr>
      <w:tr>
        <w:trPr>
          <w:trHeight w:val="187"/>
        </w:trPr>
        <w:tc>
          <w:tcPr>
            <w:tcW w:w="5980" w:type="dxa"/>
            <w:vAlign w:val="bottom"/>
          </w:tcPr>
          <w:p>
            <w:pPr>
              <w:spacing w:after="0"/>
              <w:rPr>
                <w:sz w:val="16"/>
                <w:szCs w:val="16"/>
                <w:color w:val="auto"/>
              </w:rPr>
            </w:pPr>
          </w:p>
        </w:tc>
        <w:tc>
          <w:tcPr>
            <w:tcW w:w="138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134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440" w:type="dxa"/>
            <w:vAlign w:val="bottom"/>
            <w:gridSpan w:val="3"/>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Consolidated</w:t>
            </w:r>
          </w:p>
        </w:tc>
        <w:tc>
          <w:tcPr>
            <w:tcW w:w="1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VIEs</w:t>
            </w: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2"/>
        </w:trPr>
        <w:tc>
          <w:tcPr>
            <w:tcW w:w="5980" w:type="dxa"/>
            <w:vAlign w:val="bottom"/>
          </w:tcPr>
          <w:p>
            <w:pPr>
              <w:spacing w:after="0"/>
              <w:rPr>
                <w:sz w:val="20"/>
                <w:szCs w:val="20"/>
                <w:color w:val="auto"/>
              </w:rPr>
            </w:pPr>
          </w:p>
        </w:tc>
        <w:tc>
          <w:tcPr>
            <w:tcW w:w="12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194"/>
        </w:trPr>
        <w:tc>
          <w:tcPr>
            <w:tcW w:w="5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transferred from/(to) companies within the organization presented 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provided by/(used in) investing activities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transferred (to)/from companies within the organization presented as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in)/provided by financing activities</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bl>
    <w:p>
      <w:pPr>
        <w:spacing w:after="0" w:line="19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While we currently have limited operations in mainland China conducted through our PRC subsidiaries, VIEs and VIEs’ subsidiaries, we may continue to provide limited funding to these entities. To the extent we do so,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spacing w:after="0" w:line="183"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December 31, 2025 and 2024, net assets restricted in the aggregate, were approximately US$13.11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spacing w:after="0" w:line="18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There are no restrictions for the consolidated VIEs to settle the amounts owed under the VIE agreements to our Rise King WFOE. However, arrangements and transactions among affiliated entities may be subject to audit or challenge by the PRC tax authorities. If at any time the VIE agreements and the related fee structure between the consolidated VIEs and our Rise King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Rise King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w:t>
      </w:r>
    </w:p>
    <w:p>
      <w:pPr>
        <w:spacing w:after="0" w:line="189"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spacing w:after="0" w:line="19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To date, the VIEs have settled to our Rise King WFOE the amount owed under the VIE agreements of RMB15.25 million (approximately US$2.27 million) in the aggregate.</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0" w:name="page71"/>
    <w:bookmarkEnd w:id="70"/>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currently do not have any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Analysis for the Years Ended December 31, 2025 and 2024</w:t>
      </w:r>
    </w:p>
    <w:p>
      <w:pPr>
        <w:spacing w:after="0" w:line="229"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Cash and cash equivalents represent cash on hand and deposits held at call with banks. We consider all highly liquid investments with original maturities of three months or less at the time of purchase to be cash equivalents. As of December 31, 2025, we had cash and cash equivalents of approximately US$0.97 million.</w:t>
      </w:r>
    </w:p>
    <w:p>
      <w:pPr>
        <w:spacing w:after="0" w:line="17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Our liquidity needs include (i) net cash used in operating activities that consists of (a) cash required to fund the expansion of our digital marketing and new services and (b) our working capital needs, which include deposits and advance payments to advertising resources providers, payment of our operating expenses and financing of our accounts receivable; and (ii) net cash used in investing activities that consist of the investment to expand technologies related to our existing and future business activities and investment to establish joint ventures with strategic partners for the development of new technologies and services. To date, we have financed our liquidity need primarily through proceeds we generated from financing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our net cash flow for the periods indicated:</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46"/>
        </w:trPr>
        <w:tc>
          <w:tcPr>
            <w:tcW w:w="8000" w:type="dxa"/>
            <w:vAlign w:val="bottom"/>
          </w:tcPr>
          <w:p>
            <w:pPr>
              <w:spacing w:after="0"/>
              <w:rPr>
                <w:sz w:val="24"/>
                <w:szCs w:val="24"/>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223"/>
        </w:trPr>
        <w:tc>
          <w:tcPr>
            <w:tcW w:w="8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our net cash used in operating activities of approximately US$0.93 million were primarily attributable to:</w:t>
      </w:r>
    </w:p>
    <w:p>
      <w:pPr>
        <w:spacing w:after="0" w:line="225" w:lineRule="exact"/>
        <w:rPr>
          <w:sz w:val="20"/>
          <w:szCs w:val="20"/>
          <w:color w:val="auto"/>
        </w:rPr>
      </w:pPr>
    </w:p>
    <w:p>
      <w:pPr>
        <w:ind w:left="980" w:right="20" w:hanging="486"/>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excluding approximately US$0.23 million of non-cash expenses of depreciation and amortizations; approximately US$0.05 million of amortization of operating lease right-of-use assets, approximately US$0.35 million of share-based compensation; approximately US$0.69 million of allowance for doubtful accounts; approximately US$0.03 million of deferred tax benefit; and approximately US$0.19 million of non-operating income, yielded the non-cash, non-operating items excluded net loss of approximately US$0.67 million.</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from operations from changes in operating assets and liabilities, such as:</w:t>
      </w:r>
    </w:p>
    <w:p>
      <w:pPr>
        <w:spacing w:after="0" w:line="252"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decreased by approximately US$0.85 million;</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approximately US$0.07 million;</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from customers increased by approximately US$0.02 million;</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decreased by approximately US$0.001 million; and</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payable increased by approximately US$0.03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the use from operations from changes in operating assets and liabilities, such as:</w:t>
      </w:r>
    </w:p>
    <w:p>
      <w:pPr>
        <w:spacing w:after="0" w:line="252" w:lineRule="exact"/>
        <w:rPr>
          <w:rFonts w:ascii="Times New Roman" w:cs="Times New Roman" w:eastAsia="Times New Roman" w:hAnsi="Times New Roman"/>
          <w:sz w:val="18"/>
          <w:szCs w:val="18"/>
          <w:color w:val="auto"/>
        </w:rPr>
      </w:pPr>
    </w:p>
    <w:p>
      <w:pPr>
        <w:ind w:left="1380" w:right="740" w:hanging="333"/>
        <w:spacing w:after="0" w:line="282" w:lineRule="auto"/>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deposit to suppliers increased by approximately US$1.02 million primarily due to the increase in deposits and prepayments made for the purchase of advertising and marketing resources;</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payroll, other accruals and other current liabilities decreased by approximately US$0.17 million; and</w:t>
      </w:r>
    </w:p>
    <w:p>
      <w:pPr>
        <w:spacing w:after="0" w:line="225" w:lineRule="exact"/>
        <w:rPr>
          <w:rFonts w:ascii="Times New Roman" w:cs="Times New Roman" w:eastAsia="Times New Roman" w:hAnsi="Times New Roman"/>
          <w:sz w:val="18"/>
          <w:szCs w:val="18"/>
          <w:color w:val="auto"/>
        </w:rPr>
      </w:pPr>
    </w:p>
    <w:p>
      <w:pPr>
        <w:ind w:left="1380" w:right="20" w:hanging="333"/>
        <w:spacing w:after="0" w:line="282" w:lineRule="auto"/>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decreased by approximately US$0.05 million in the aggregate, due to payment for our office lease costs during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our net cash used in operating activities of approximately US$2.06 million were primarily attributable to:</w:t>
      </w:r>
    </w:p>
    <w:p>
      <w:pPr>
        <w:spacing w:after="0" w:line="225" w:lineRule="exact"/>
        <w:rPr>
          <w:sz w:val="20"/>
          <w:szCs w:val="20"/>
          <w:color w:val="auto"/>
        </w:rPr>
      </w:pPr>
    </w:p>
    <w:p>
      <w:pPr>
        <w:ind w:left="980" w:hanging="486"/>
        <w:spacing w:after="0" w:line="25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excluding approximately US$0.94 million of non-cash expenses of depreciation and amortizations; approximately US$0.02 million of amortization of operating lease right-of-use assets, approximately US$0.68 million of share-based compensation; approximately US$0.003 million in loss on disposal of fixed assets; approximately US$0.002 million in impairment on long-term investments; approximately US$0.85 million of allowance for doubtful accounts; approximately US$0.40 million of deferred tax expense; approximately US$0.02 million in gain on disposal of subsidiaries; and approximately US$0.40 million of non-operating income, yielded the non-cash, non-operating items excluded net loss of approximately US$1.30 million.</w:t>
      </w:r>
    </w:p>
    <w:p>
      <w:pPr>
        <w:spacing w:after="0" w:line="18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from operations from changes in operating assets and liabilities, such as:</w:t>
      </w:r>
    </w:p>
    <w:p>
      <w:pPr>
        <w:spacing w:after="0" w:line="252" w:lineRule="exact"/>
        <w:rPr>
          <w:rFonts w:ascii="Times New Roman" w:cs="Times New Roman" w:eastAsia="Times New Roman" w:hAnsi="Times New Roman"/>
          <w:sz w:val="18"/>
          <w:szCs w:val="18"/>
          <w:color w:val="auto"/>
        </w:rPr>
      </w:pPr>
    </w:p>
    <w:p>
      <w:pPr>
        <w:ind w:left="1380" w:right="120" w:hanging="333"/>
        <w:spacing w:after="0" w:line="282" w:lineRule="auto"/>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and deposit to suppliers decreased by approximately US$0.62 million, primarily due to utilization of the prepayment made to suppliers as of December 31, 2023 through Ad resource and other services received from suppliers during fiscal 2024;</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and accruals increased by US$0.70 million; and</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payable increased by US$0.002 million.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the use from operations from changes in operating assets and liabilities, such as:</w:t>
      </w:r>
    </w:p>
    <w:p>
      <w:pPr>
        <w:spacing w:after="0" w:line="252" w:lineRule="exact"/>
        <w:rPr>
          <w:rFonts w:ascii="Times New Roman" w:cs="Times New Roman" w:eastAsia="Times New Roman" w:hAnsi="Times New Roman"/>
          <w:sz w:val="18"/>
          <w:szCs w:val="18"/>
          <w:color w:val="auto"/>
        </w:rPr>
      </w:pPr>
    </w:p>
    <w:p>
      <w:pPr>
        <w:ind w:left="1380" w:right="300" w:hanging="333"/>
        <w:spacing w:after="0" w:line="282" w:lineRule="auto"/>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decreased by approximately US$0.11 million, primarily due to settlement of the amount due to a major internet Ad resource provider as of December 31, 2023 during the year;</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increased by US$1.67 million;</w:t>
      </w:r>
    </w:p>
    <w:p>
      <w:pPr>
        <w:spacing w:after="0" w:line="225"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from customers decreased by US$0.28 million due to decreases in advances from customers during the year;</w:t>
      </w:r>
    </w:p>
    <w:p>
      <w:pPr>
        <w:spacing w:after="0" w:line="225" w:lineRule="exact"/>
        <w:rPr>
          <w:rFonts w:ascii="Times New Roman" w:cs="Times New Roman" w:eastAsia="Times New Roman" w:hAnsi="Times New Roman"/>
          <w:sz w:val="18"/>
          <w:szCs w:val="18"/>
          <w:color w:val="auto"/>
        </w:rPr>
      </w:pPr>
    </w:p>
    <w:p>
      <w:pPr>
        <w:ind w:left="1380" w:right="100" w:hanging="333"/>
        <w:spacing w:after="0" w:line="282" w:lineRule="auto"/>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and lease liabilities related to short-term leases decreased by approximately US$0.02 million in the aggregate, due to payment for our office lease costs during the year; and</w:t>
      </w:r>
    </w:p>
    <w:p>
      <w:pPr>
        <w:spacing w:after="0" w:line="161"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increased by US$0.003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cash provided by investing activities included the following transactions: (1) we received an aggregate of approximately US$1.12 million repayments of short-term loan principal and interest; (2) Purchase of intellectual property through our acquisition of Rahula of US$0.6 million; (3) made payments for leasehold improvements and the purchase of vehicles, furniture and office equipment for US$0.07 million; (4) made deposits for other investing contracts of US$0.30 million; and (5) cash paid for acquisition of equity interests of US$0.30 million. In the aggregate, these transactions resulted in a net cash outflow used in investing activities of approximately US$0.14 million for the year ended December 31,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2" w:name="page73"/>
    <w:bookmarkEnd w:id="72"/>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our cash provided by investing activities included the following transactions: (1) we received an aggregate of US$0.90 million repayments of short-term loan principal and interest, of which US$0.49 million was related to repayment of loan principals and US$0.41 million in repayment of loan interest; (2) investment and advances to ownership investee entities of US$0.002 million; (3) proceeds from the disposal of long term investments in of US$0.15 million; (4) made payments for leasehold improvements and the purchase of vehicles, furniture and office equipment for US$0.003 million and (5) made deposits for other investing contracts of US$0.15 million. In the aggregate, these transactions resulted in a net cash inflow provided by investing activities of approximately US$0.90 million for the year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cash provided by financing activities included proceeds from private investment in public equity (“PIPE”) transactions of approximately US$1.23 million. This resulted in net cash inflow provided by financing activities of approximately US$1.23 million for the year ended December 31, 2025.</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our cash provided by financing activities included the following transactions: (1) we received advances from investors of approximately US$1.08 million and (2) capital contribution from noncontrolling interest of approximately US$0.07 million. In aggregate, these transactions resulted in net cash inflow of provided by financing activities of approximately US$1.15 million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Liquidity, Material Cash Requirements and Capital Resources</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future short-term liquidity needs within 12 months from the date hereof primarily include deposits and advance payments required for the purchase of online marketing resources to be distributed to our customers and payments for our operating expenses, which mainly consist of office rentals and employee salary and benefit.</w:t>
      </w:r>
    </w:p>
    <w:p>
      <w:pPr>
        <w:spacing w:after="0" w:line="176"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current core business is to provide advertising and marketing services to small and medium enterprises (“SMEs”), which is particularly sensitive to changes in general economic conditions. However, as we wind down our search engine marketing distribution service in the PRC, we are seeing an improvement in our gross margins as well as significantly reduced operating expenses that will improve our cash flow and liquidity in the next 12 months.</w:t>
      </w:r>
    </w:p>
    <w:p>
      <w:pPr>
        <w:spacing w:after="0" w:line="176"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In addition, in order to further develop our core business, i.e., our Internet advertising and marketing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and its intellectual property has enabled us to establish our IP services business segment. We generate revenue by licensing the intellectual property acquired through Rahula to our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September 17, 2025, CNET Technology Limited (“CNET Technology”), a wholly-owned subsidiary of ZW Data Action Technologies Inc. (the “Company”) in the British Virgin Islands, entered into a purchase agreement (the “Acquisition Agreement 1”)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acquired the Titans Equity Interests on October 21, 2025. As of the date of this report, the Company has not yet issued the 200,000 shares of common stock to the Sellers. Titans is principally engaged in providing digital marketing and advertising services.</w:t>
      </w:r>
    </w:p>
    <w:p>
      <w:pPr>
        <w:spacing w:after="0" w:line="18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On October 28, 2025, CNET Technology Limited (“CNET Technology”), a wholly-owned subsidiary of the Company in the British Virgin Islands, entered into a purchase agreement (the “Acquisition Agreement”) with Fun Star Group INC., a British Virgin Islands company (the “Seller”) and Modest Attack Limited, a British Virgin Islands company (“Modest”), pursuant to which the Seller will sell its 9.9% equity interests in Modest (the “ Modest Equity Interests”) to CNET Technology. In consideration for the Modest Equity Interests, CNET Technology shall pay to the Seller $625,000 in cash and cause the Company to issue 150,000 shares of common stock of the Company, having a total value of $375,000 and valued at $2.50 per share, to the Seller. The closing of the acquisition is subject to customary terms and conditions as set forth in the Acquisition Agreement. Modest is principally engaged in providing consulting and technology development services related to the tokenization of real-world assets, including token economics design, blockchain platform development, ecosystem infrastructure support, and digital asset monitoring and management.</w:t>
      </w:r>
    </w:p>
    <w:p>
      <w:pPr>
        <w:spacing w:after="0" w:line="192"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equity financing; (3) we plan to reduce our operating costs through optimizing the personnel structure among different offices and reduce our office leasing spaces, if needed. This may incur incremental costs related to employee layoff compensation and contract termination penalty.</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2025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December 31, 2025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spacing w:after="0" w:line="18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In the long term, beyond the next 12 months, we plan to further broaden the application scenarios of our blockchain-based SaaS services to be offered to the customers, continue expanding our core Internet advertising and marketing business through acquisitions, and develop Internet advertising and marketing channels that target Internet users outside of mainland China. In addition,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spacing w:after="0" w:line="188" w:lineRule="exact"/>
        <w:rPr>
          <w:sz w:val="20"/>
          <w:szCs w:val="20"/>
          <w:color w:val="auto"/>
        </w:rPr>
      </w:pPr>
    </w:p>
    <w:p>
      <w:pPr>
        <w:ind w:left="500" w:right="8200" w:hanging="492"/>
        <w:spacing w:after="0" w:line="500" w:lineRule="auto"/>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Contractual Obligations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August 2022, we obtained a 9.9% equity interest in Hunan Yong Fu Xiang Health Management Co., Ltd (“Yong Fu Xiang”), through subscription of a RMB6.73 million (approximately US$0.97 million) registered capital of the entity in cash, which amount was committed to be paid up before December 31, 2065.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In June 2023, we obtained a 9.9% equity interest in Wuhan Ju Liang, through subscription of a RMB0.99 million (approximately US$0.14 million) registered capital of the entity in cash, which amount was committed to be paid up before August 1, 2052.</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smaller reporting company, we are not required to include disclosure under this Item.</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financial statements and the notes thereto begin on page F-1 of this Annual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Our chief executive officer and chief financial officer, with the participation of other members of management, evaluated the effectiveness of our disclosure controls and procedures, as defined in Exchange Act Rules 13a-15(e) and 15d-15(e), as of December 31, 2025. Based on this evaluation, our chief executive officer and chief financial officer concluded that our disclosure controls and procedures as of December 31, 2025 were effective such that the material information required to be included in our SEC reports is recorded, processed, summarized and reported within the time periods specified in SEC rules and forms relating to our company, including our consolidating subsidiaries and VIEs, and was made known to them by others within those entities, particularly during the period when this report was being prepared.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Exchange Act Rules 13a-15(f) and 15d-15(f).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the Chief Executive Officer and Chief Financial Officer, management conducted an evaluation of the effectiveness of its internal control over financial reporting as of December 31, 2025. The framework on which such evaluation was based is contained in the report entitled “Internal Control — Integrated Framework” issued by the Committee of Sponsoring Organizations of the Treadway Commission (2013 framework). Based on the criteria set forth in the COSO Report, management assessed the effectiveness of the Company’s internal control over financial reporting, as of December 31, 2025, and has determined that, as of December 31, 2025, the Company’s internal control over financial reporting was effective.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our internal controls over financial reporting identified in connection with this evaluation that occurred during our last fiscal quarter that have materially affected, or are reasonably likely to materially affect, the Company’s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management’s report is not subject to attestation by our registered public accounting firm.</w:t>
      </w:r>
    </w:p>
    <w:p>
      <w:pPr>
        <w:spacing w:after="0" w:line="200" w:lineRule="exact"/>
        <w:rPr>
          <w:sz w:val="20"/>
          <w:szCs w:val="20"/>
          <w:color w:val="auto"/>
        </w:rPr>
      </w:pPr>
    </w:p>
    <w:p>
      <w:pPr>
        <w:spacing w:after="0" w:line="2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The following discussion sets forth information regarding the executive officers and directors of the Company as of March 31, 2026. The board of directors is comprised of only one class. All of the directors will serve until the next annual meeting of stockholders and until their successors are elected and qualified, or until their earlier death, retirement, resignation or removal. Provided below is a brief description of our executive officers’ and directors’ business experience during the past five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Has served as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Other positions with Company; other</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8"/>
        </w:trPr>
        <w:tc>
          <w:tcPr>
            <w:tcW w:w="22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8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directorships held in last five years</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Handong Cheng</w:t>
            </w:r>
          </w:p>
        </w:tc>
        <w:tc>
          <w:tcPr>
            <w:tcW w:w="126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Chairman of the Board, Chief Executive Officer, President and Acting Chief</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September 2007</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June 2015</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Chung Wang Yiu (Ron)</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November 2009</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Justin Tam</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December 2024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2014</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business experience during at least the last five years of each of these individuals is as follows:</w:t>
      </w:r>
    </w:p>
    <w:p>
      <w:pPr>
        <w:spacing w:after="0" w:line="221" w:lineRule="exact"/>
        <w:rPr>
          <w:sz w:val="20"/>
          <w:szCs w:val="20"/>
          <w:color w:val="auto"/>
        </w:rPr>
      </w:pPr>
    </w:p>
    <w:p>
      <w:pPr>
        <w:ind w:right="36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Handong Cheng, Chairman of the Board, Chief Executive Officer, President and Acting Chief Financial Officer. </w:t>
      </w:r>
      <w:r>
        <w:rPr>
          <w:rFonts w:ascii="Times New Roman" w:cs="Times New Roman" w:eastAsia="Times New Roman" w:hAnsi="Times New Roman"/>
          <w:sz w:val="18"/>
          <w:szCs w:val="18"/>
          <w:color w:val="auto"/>
        </w:rPr>
        <w:t>Mr. Cheng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our company since September 2007, and as Acting Chief Financial Officer since May 2023. Prior to that role, from October 2003 to September 2007, Mr. Cheng acted as President of ChinaNet Online Advertising Limited. Mr. Cheng holds an EMBA degree from Guanghua School of Management at the Peking University, and a degree in economic law from the College of Law of Wuhan University.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6" w:name="page77"/>
    <w:bookmarkEnd w:id="76"/>
    <w:p>
      <w:pPr>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George Kai Chu, Director</w:t>
      </w:r>
      <w:r>
        <w:rPr>
          <w:rFonts w:ascii="Times New Roman" w:cs="Times New Roman" w:eastAsia="Times New Roman" w:hAnsi="Times New Roman"/>
          <w:sz w:val="18"/>
          <w:szCs w:val="18"/>
          <w:color w:val="auto"/>
        </w:rPr>
        <w:t>. Mr. Chu had been our Chief Operating Officer and Secretary from May 2010 to August 2020. From December 2007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2010, Mr. Chu served as the Special Executive to the Chairman of Dachan Food (Asia) Ltd. in Beijing and also served at Dachan Food as the Head of the Beijing and Hebei Operations. From June 2007 to December 2007, Mr. Chu acted as Senior Business Advisor to the Chinese Aviation and Space Industry Development Association (CASIDA) in Taipei. From January 2005 to June 2007, Mr. Chu served as a Senior Vice President at the Royal Bank of Canada Financial Group, Asset Management in Vancouver, Toronto and New York. Mr. Chu has a joint major bachelor’s degree in accounting and management information systems from Simon Fraser University, an MBA degree from Harvard University and an EMBA degree from Guanghua School of Management at the Peking University.</w:t>
      </w:r>
    </w:p>
    <w:p>
      <w:pPr>
        <w:spacing w:after="0" w:line="18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Chung Wang Yiu (Ron), Director. </w:t>
      </w:r>
      <w:r>
        <w:rPr>
          <w:rFonts w:ascii="Times New Roman" w:cs="Times New Roman" w:eastAsia="Times New Roman" w:hAnsi="Times New Roman"/>
          <w:sz w:val="18"/>
          <w:szCs w:val="18"/>
          <w:color w:val="auto"/>
        </w:rPr>
        <w:t>Mr. Yiu is an experienced marketing professional with a robust background in regional marketing, specializing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diverse range of sectors including e-commerce, B2C lifestyle, corporate, and B2B technology brands. Since November 2020, Mr. Yiu has been served as the Content Lead APAC, Foodpanda, Bangkok, where he oversees the marketing strategies for Hong Kong and Cambodia, managing regional marketing campaigns and execution. From June 2018 to November 2020, Mr. Yiu served as Senior Account Executive of TEAM LEWIS, Hong Kong. At TEAM LEWIS, he managed content development, social media management, client servicing, regional coordination, media relations, and influencer engagement for high-profile clients such as Equinix, Ferrari, Foreo, NTT Ltd., Skyscanner, Sophos, and The LYCRA Company. From August 2017 to May 2019, Mr. Yiu served as Account Executive of Newell Public Relations, Hong Kong. At Newell Public Relations, Mr. Yiu was responsible for content development, social media management, media relations, and event support for clients including Adobe, Belkin, GfK, Parallels, and Software AG. From August 2015 to March 2017, Mr. Yiu worked as Project Coordinator of Creative Concept Construction, Hong Kong where he managed client servicing, coordination with internal and external parties, document preparation, and administrative support, including reporting and database updates. Mr. Yiu holds a Bachelor of Arts (Hons) in Translation from Lingnan University. With a strong track record in integrated communications, Mr. Yiu brings expertise in digital marketing, copywriting, social media management, project management, influencer engagement, and public relations.</w:t>
      </w:r>
    </w:p>
    <w:p>
      <w:pPr>
        <w:spacing w:after="0" w:line="190"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Zhiqing Chen, Director</w:t>
      </w:r>
      <w:r>
        <w:rPr>
          <w:rFonts w:ascii="Times New Roman" w:cs="Times New Roman" w:eastAsia="Times New Roman" w:hAnsi="Times New Roman"/>
          <w:sz w:val="18"/>
          <w:szCs w:val="18"/>
          <w:color w:val="auto"/>
        </w:rPr>
        <w:t>. Mr. Chen has been a partner at Chen &amp; Partners Law Firm since July 2010. From January 2002 to June 2010, Mr. 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partner at Jin Mao P.R.C. Lawyers in Shanghai, a law firm specializing in corporate law, including foreign investments and mergers and acquisitions. Mr. Chen’s clients include local PRC enterprises as well as international corporations. Prior to joining the Company, Mr. Chen served as a non-management director for Shanghai Fumai Investment Management Co., Ltd., Shanghai Zhijinwu Investment Management Co., Ltd, and Shanghai Merciful Groups Co., Ltd. Mr. Chen received a bachelor’s degree in international law from East China University and an EMBA degree from Guanghua School of Management at the Peking University.</w:t>
      </w:r>
    </w:p>
    <w:p>
      <w:pPr>
        <w:spacing w:after="0" w:line="182"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Fernando Chen I-Ting, Director</w:t>
      </w:r>
      <w:r>
        <w:rPr>
          <w:rFonts w:ascii="Times New Roman" w:cs="Times New Roman" w:eastAsia="Times New Roman" w:hAnsi="Times New Roman"/>
          <w:sz w:val="18"/>
          <w:szCs w:val="18"/>
          <w:color w:val="auto"/>
        </w:rPr>
        <w:t>. Mr. Chen brings over 15 years of specialized experience in commercial sales within the public authority,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enforcement, and defense industry sectors in South-East Asia. He has developed a deep understanding of the industry’s unique requirements and challenges, demonstrating a consistent ability to manage extensive sales operations, cultivate robust client relationships, and deliver high-value solutions. Since 2019, Mr. Chen has served as Partner and Asia Commercial Sales Program Manager of Marck &amp; Balsan Group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responsible for the Taiwan, the Philippines, Vietnam, and Japan markets. Between 2014 and 2019, Mr. Chen worked as partner and Asia sales at GK Pro Group, a company focusing on law enforcement personal protection gear. Prior to that, Mr. Chen worked at Seggan International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apprenticed in trading materials and equipment across multiple international markets including the United States, Europe, New Zealand, Japan, and Taiwan. Mr. Chen holds a Bachelor's degree in Marketing from the University of Auckland and has continually refined his skills through various certifications. Mr. Chen brings in extensive background and strategic insight in the Asia region.</w:t>
      </w:r>
    </w:p>
    <w:p>
      <w:pPr>
        <w:spacing w:after="0" w:line="188"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Justin Tam, Director</w:t>
      </w:r>
      <w:r>
        <w:rPr>
          <w:rFonts w:ascii="Times New Roman" w:cs="Times New Roman" w:eastAsia="Times New Roman" w:hAnsi="Times New Roman"/>
          <w:sz w:val="18"/>
          <w:szCs w:val="18"/>
          <w:color w:val="auto"/>
        </w:rPr>
        <w:t>. Mr. Tam is a versatile professional with over 30 years of experience across business development, healthcare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management, and entrepreneurship. Since January 2023, Mr. Tam has served as the Business Development Director at FINESSE Healthcare, a start-up company focused on homecare AI under FINESSE GROUP. Previously, from January 2017 to November 2022, Mr. Tam served as the General Manager at MYDOC Health Limited, a telemedicine company established in 2015. From January 2016 to November 2020, Mr. Tam served as the Vice President of Technology Investment at Brighten Management Limited, a family office that structures and manages private equity investments in Hong Kong and Asia markets. Between 2002 to 2015, Mr. Tam was also an entrepreneur. Mr. Tam holds an Honour Bachelor of Applied Sciences in Electrical Engineering from the University of Waterloo, Canada.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ind w:right="340"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Chang Qiu, Director</w:t>
      </w:r>
      <w:r>
        <w:rPr>
          <w:rFonts w:ascii="Times New Roman" w:cs="Times New Roman" w:eastAsia="Times New Roman" w:hAnsi="Times New Roman"/>
          <w:sz w:val="18"/>
          <w:szCs w:val="18"/>
          <w:color w:val="auto"/>
        </w:rPr>
        <w:t>. Mr. Qiu has served as the President and Chief Executive Officer of Forun Technologies Inc. since July 2018. From April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to June 2018, he served as a Principal of Sansar Capital Management. From 2001 through March 2007, Mr. Qiu served as the Founder, Managing Director and Senior Equity Analyst of Forun Technologies Inc. Prior to that, Mr. Qiu worked at IBM and other organizations in business and research functions. Mr. Qiu received an MBA degree from Columbia Business School, a Ph.D. degree from Colorado School of Mines, and a bachelor’s degree from Wuhan University, China.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director or executive officer is related to any other director or executive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Mr. Handong Cheng holds the positions of chief executive officer, acting chief financial officer and chairman of the Board of the Company. The Board believes that Mr. Cheng’s services as both chief executive officer, acting chief financial officer and chairman of the Board is in the best interest of the Company and its shareholders. Mr. Cheng possesses detailed and in-depth knowledge of the issues, opportunities and challenges facing the Company in its industries and businesses and is thus best positioned to develop agendas that ensure the Board’s time and attention are focused on the most critical matters relating to the business of the Company. His combined role enables decisive leadership, ensures clear accountability, and enhances the Company’s ability to communicate its message and strategy clearly and consistently to the Company’s shareholders, employees and customers.</w:t>
      </w:r>
    </w:p>
    <w:p>
      <w:pPr>
        <w:spacing w:after="0" w:line="18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Board has not designated a lead director. Given the limited number of directors comprising the Board, the independent directors call and plan their executive sessions collaboratively and, between meetings of the Board, communicate with management and one another directly. Under these circumstances, the directors believe designating a lead director to take on responsibility for functions in which they all currently participate might detract from rather than enhance performance of their responsibilities as directors.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22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 seeks directors with established strong professional reputations and experience in areas relevant to the strategy and operations of its businesses. The Company also seeks directors who possess the qualities of integrity and candor, who have strong analytical skills and who are willing to engage management and each other in a constructive and collaborative fashion, in addition to the ability and commitment to devote time and energy to service on the Board and its committees. We believe that all of our directors meet the foregoing qualifications.</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believe that the leadership skills and other experience of the Board members, as described below, provide the Company with a range of perspectives and judgment necessary to guide our strategies and monitor their execution.</w:t>
      </w:r>
    </w:p>
    <w:p>
      <w:pPr>
        <w:spacing w:after="0" w:line="158" w:lineRule="exact"/>
        <w:rPr>
          <w:sz w:val="20"/>
          <w:szCs w:val="20"/>
          <w:color w:val="auto"/>
        </w:rPr>
      </w:pPr>
    </w:p>
    <w:p>
      <w:pPr>
        <w:ind w:right="10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Handong Cheng</w:t>
      </w:r>
      <w:r>
        <w:rPr>
          <w:rFonts w:ascii="Times New Roman" w:cs="Times New Roman" w:eastAsia="Times New Roman" w:hAnsi="Times New Roman"/>
          <w:sz w:val="18"/>
          <w:szCs w:val="18"/>
          <w:color w:val="auto"/>
        </w:rPr>
        <w:t>. Mr. Cheng is the founder of the Company and has been serving the franchise and advertising media industries for nearly twenty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In 2003, he participated in the establishment of Beijing CNET Online Advertising Co., Ltd. and Business Opportunity Online (Beijing) Networking Technology Ltd. (www.28.com), and engaged in operational, administration and management activities. Mr. Cheng has contributed to the Board’s strong leadership and vision for the development of the Company.</w:t>
      </w:r>
    </w:p>
    <w:p>
      <w:pPr>
        <w:spacing w:after="0" w:line="176"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George Chu</w:t>
      </w:r>
      <w:r>
        <w:rPr>
          <w:rFonts w:ascii="Times New Roman" w:cs="Times New Roman" w:eastAsia="Times New Roman" w:hAnsi="Times New Roman"/>
          <w:sz w:val="18"/>
          <w:szCs w:val="18"/>
          <w:color w:val="auto"/>
        </w:rPr>
        <w:t>. Mr. Mr. Chu had been our Chief Operating Officer and Secretary from May 2010 to August 2020. Mr. Chu has years of experience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markets, financial and business management.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8" w:name="page79"/>
    <w:bookmarkEnd w:id="78"/>
    <w:p>
      <w:pPr>
        <w:ind w:left="500"/>
        <w:spacing w:after="0"/>
        <w:rPr>
          <w:sz w:val="20"/>
          <w:szCs w:val="20"/>
          <w:color w:val="auto"/>
        </w:rPr>
      </w:pPr>
      <w:r>
        <w:rPr>
          <w:rFonts w:ascii="Times New Roman" w:cs="Times New Roman" w:eastAsia="Times New Roman" w:hAnsi="Times New Roman"/>
          <w:sz w:val="18"/>
          <w:szCs w:val="18"/>
          <w:b w:val="1"/>
          <w:bCs w:val="1"/>
          <w:color w:val="auto"/>
        </w:rPr>
        <w:t>Zhiqing Chen</w:t>
      </w:r>
      <w:r>
        <w:rPr>
          <w:rFonts w:ascii="Times New Roman" w:cs="Times New Roman" w:eastAsia="Times New Roman" w:hAnsi="Times New Roman"/>
          <w:sz w:val="18"/>
          <w:szCs w:val="18"/>
          <w:color w:val="auto"/>
        </w:rPr>
        <w:t>. Mr. Chen contributes to the Board extensive legal knowledge with respect to foreign investments and mergers and acquisitions. Mr.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Chen also has experience working with PRC enterprises and international corporations.</w:t>
      </w:r>
    </w:p>
    <w:p>
      <w:pPr>
        <w:spacing w:after="0" w:line="203"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Chang Qiu</w:t>
      </w:r>
      <w:r>
        <w:rPr>
          <w:rFonts w:ascii="Times New Roman" w:cs="Times New Roman" w:eastAsia="Times New Roman" w:hAnsi="Times New Roman"/>
          <w:sz w:val="18"/>
          <w:szCs w:val="18"/>
          <w:color w:val="auto"/>
        </w:rPr>
        <w:t>. Mr. Qiu has extensive experience working with PRC enterprises and international corporations. Mr. Qiu contributes to the Board 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with respect to foreign investments, business strategy and corporate finance.</w:t>
      </w:r>
    </w:p>
    <w:p>
      <w:pPr>
        <w:spacing w:after="0" w:line="15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Chung Wang Yiu (Ron). </w:t>
      </w:r>
      <w:r>
        <w:rPr>
          <w:rFonts w:ascii="Times New Roman" w:cs="Times New Roman" w:eastAsia="Times New Roman" w:hAnsi="Times New Roman"/>
          <w:sz w:val="18"/>
          <w:szCs w:val="18"/>
          <w:color w:val="auto"/>
        </w:rPr>
        <w:t>With a strong track record in integrated communications, Mr. Yiu brings expertise in digital marketing, copywriting,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management, project management, influencer engagement, and public relations.</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Fernando Chen I-Ting. </w:t>
      </w:r>
      <w:r>
        <w:rPr>
          <w:rFonts w:ascii="Times New Roman" w:cs="Times New Roman" w:eastAsia="Times New Roman" w:hAnsi="Times New Roman"/>
          <w:sz w:val="18"/>
          <w:szCs w:val="18"/>
          <w:color w:val="auto"/>
        </w:rPr>
        <w:t>Mr. Chen brings in extensive background and strategic insight in the Asia region.</w:t>
      </w:r>
    </w:p>
    <w:p>
      <w:pPr>
        <w:spacing w:after="0" w:line="225"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Justin Tam. </w:t>
      </w:r>
      <w:r>
        <w:rPr>
          <w:rFonts w:ascii="Times New Roman" w:cs="Times New Roman" w:eastAsia="Times New Roman" w:hAnsi="Times New Roman"/>
          <w:sz w:val="18"/>
          <w:szCs w:val="18"/>
          <w:color w:val="auto"/>
        </w:rPr>
        <w:t>Mr. Tam brings a comprehensive blend of technical acumen and business insight to drive innovation and deliver substantial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various sectors.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Meetings of the Board of Directors</w:t>
      </w:r>
    </w:p>
    <w:p>
      <w:pPr>
        <w:spacing w:after="0" w:line="227"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Board held eight meetings during 2025. During 2025, no director attended fewer than 75% of the meetings of the Board and Board committees of which the director was a member.</w:t>
      </w:r>
    </w:p>
    <w:p>
      <w:pPr>
        <w:spacing w:after="0" w:line="162" w:lineRule="exact"/>
        <w:rPr>
          <w:sz w:val="20"/>
          <w:szCs w:val="20"/>
          <w:color w:val="auto"/>
        </w:rPr>
      </w:pPr>
    </w:p>
    <w:p>
      <w:pPr>
        <w:jc w:val="both"/>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Company’s directors are expected to attend board meetings as frequently as necessary to properly discharge their responsibilities and to spend the time needed to prepare for each such meeting. The Company’s directors are expected to attend annual meetings of stockholders, but we do not have a formal policy requiring them to do so. All of our directors attended the 2025 annual meeting of stockholders held on December 1, 2025, except that Mr. Qiu was unable to attend.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adopted a Code of Ethics applicable to its directors, officers and employees on December 21, 2009. The Code of Ethics is designed to deter wrongdoing and to promote ethical conduct and full, fair, accurate, timely and understandable reports that the Company files or submits to the Securities and Exchange Commission and others. A printed copy of the Code of Ethics may be obtained free of charge by writing to us at our headquarters located at 8/F. 29 Des Voeux Road Central, Central, Hong Kong or on our website, investor.chinanet-online.com.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which applies to all directors, officers, employees, independent contractors, and consultants of the Company and its subsidiaries, as well as certain other persons. The Insider Trading Policy is designed to promote compliance with U.S. federal and state securities laws, rules and regulations and the applicable rules and regulations of Nasdaq, with respect to the purchase, sale and/or disposition of the Company’s securities. The Insider Trading Policy addresses the implementation of certain trading blackout periods in the Company’s securities for Company insiders. A copy of the Insider Trading Policy was filed as Exhibit 19 to our Annual Report on Form 10-K filed with the SEC on April 15, 2025 and was incorporated by reference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Board has a standing audit, compensation, and nominating and corporate governance committee, comprised solely of independent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has a charter, which is available at the Company’s website, investor.chinanet-online.com.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9" w:name="page80"/>
    <w:bookmarkEnd w:id="79"/>
    <w:p>
      <w:pPr>
        <w:ind w:left="50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four meetings during 2025.</w:t>
      </w:r>
    </w:p>
    <w:p>
      <w:pPr>
        <w:spacing w:after="0" w:line="18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members of the Audit Committee are Chang Qiu, Zhiqing Chen and Chung Wang Yiu (Ron). The Board has determined that Mr. Qiu is an audit committee financial expert, as defined in the Exchange Act.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no meetings during 2025.</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members of the Compensation Committee are Zhiqing Chen, Chang Qiu and Chung Wang Yiu (Ron).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assists the Board in identifying qualified individuals to the Board as its nominees for election as directors, in determining the composition of the Board, and in assessing the Board’s effectiveness. The Nominating and Corporate Governance Committee held no meetings during 2025.</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members of the Nominating and Corporate Governance Committee are Zhiqing Chen, Chang Qiu and Chung Wang Yiu (Ron).</w:t>
      </w:r>
    </w:p>
    <w:p>
      <w:pPr>
        <w:spacing w:after="0" w:line="225"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security holders. Potential nominees to the Board are required to have such experience in business or financial matters as would make such nominee an asset to the Board and may, under certain circumstances, be required to be “independent”, as such term is defined under Rule 5605 of the listing standards of Nasdaq and applicable SEC regulations. Security holders wishing to submit the name of a person as a potential nominee to the Board must send the name, address, and a brief (no more than 500 words) biographical description of such potential nominee to the Nominating and Corporate Governance Committee at the following address: Nominating and Corporate Governance Committee of the Board of Directors, c/o ZW Data Action Technologies Inc., 8/F. 29 Des Voeux Road Central, Central, Hong Kong. Potential director nominees will be evaluated by personal interview, such interview to be conducted by one or more members of the Nominating and Corporate Governance Committee, and/or any other method the Nominating and Corporate Governance Committee deems appropriate, which may, but need not, include a questionnaire. The Nominating and Corporate Governance Committee may solicit or receive information concerning potential nominees from any source it deems appropriate. The Nominating and Corporate Governance Committee need not engage in an evaluation process unless (i) there is a vacancy on the Board, (ii) a director is not standing for re-election, or (iii) the Nominating and Corporate Governance Committee does not intend to recommend the nomination of a sitting director for re-election. A potential director nominee recommended by a security holder will not be evaluated differently from any other potential nominee. Although it has not done so in the past, the Nominating and Corporate Governance Committee may retain search firms to assist in identifying suitable director candidates.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0" w:name="page81"/>
    <w:bookmarkEnd w:id="80"/>
    <w:p>
      <w:pPr>
        <w:ind w:firstLine="486"/>
        <w:spacing w:after="0" w:line="255" w:lineRule="auto"/>
        <w:rPr>
          <w:sz w:val="20"/>
          <w:szCs w:val="20"/>
          <w:color w:val="auto"/>
        </w:rPr>
      </w:pPr>
      <w:r>
        <w:rPr>
          <w:rFonts w:ascii="Times New Roman" w:cs="Times New Roman" w:eastAsia="Times New Roman" w:hAnsi="Times New Roman"/>
          <w:sz w:val="18"/>
          <w:szCs w:val="18"/>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Executive Officers involved in Bankruptcy or Criminal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our knowledge, during the last ten years, none of our directors and executive officers (including those of our subsidiaries) has:</w:t>
      </w:r>
    </w:p>
    <w:p>
      <w:pPr>
        <w:spacing w:after="0" w:line="225" w:lineRule="exact"/>
        <w:rPr>
          <w:sz w:val="20"/>
          <w:szCs w:val="20"/>
          <w:color w:val="auto"/>
        </w:rPr>
      </w:pPr>
    </w:p>
    <w:p>
      <w:pPr>
        <w:ind w:left="1100" w:hanging="390"/>
        <w:spacing w:after="0" w:line="282"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61" w:lineRule="exact"/>
        <w:rPr>
          <w:rFonts w:ascii="Times New Roman" w:cs="Times New Roman" w:eastAsia="Times New Roman" w:hAnsi="Times New Roman"/>
          <w:sz w:val="18"/>
          <w:szCs w:val="18"/>
          <w:color w:val="auto"/>
        </w:rPr>
      </w:pPr>
    </w:p>
    <w:p>
      <w:pPr>
        <w:ind w:left="1100" w:hanging="390"/>
        <w:spacing w:after="0" w:line="282"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161" w:lineRule="exact"/>
        <w:rPr>
          <w:rFonts w:ascii="Times New Roman" w:cs="Times New Roman" w:eastAsia="Times New Roman" w:hAnsi="Times New Roman"/>
          <w:sz w:val="18"/>
          <w:szCs w:val="18"/>
          <w:color w:val="auto"/>
        </w:rPr>
      </w:pPr>
    </w:p>
    <w:p>
      <w:pPr>
        <w:jc w:val="both"/>
        <w:ind w:left="1100" w:hanging="390"/>
        <w:spacing w:after="0" w:line="266"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75" w:lineRule="exact"/>
        <w:rPr>
          <w:rFonts w:ascii="Times New Roman" w:cs="Times New Roman" w:eastAsia="Times New Roman" w:hAnsi="Times New Roman"/>
          <w:sz w:val="18"/>
          <w:szCs w:val="18"/>
          <w:color w:val="auto"/>
        </w:rPr>
      </w:pPr>
    </w:p>
    <w:p>
      <w:pPr>
        <w:ind w:left="1100" w:hanging="390"/>
        <w:spacing w:after="0" w:line="282"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 or</w:t>
      </w:r>
    </w:p>
    <w:p>
      <w:pPr>
        <w:spacing w:after="0" w:line="161" w:lineRule="exact"/>
        <w:rPr>
          <w:rFonts w:ascii="Times New Roman" w:cs="Times New Roman" w:eastAsia="Times New Roman" w:hAnsi="Times New Roman"/>
          <w:sz w:val="18"/>
          <w:szCs w:val="18"/>
          <w:color w:val="auto"/>
        </w:rPr>
      </w:pPr>
    </w:p>
    <w:p>
      <w:pPr>
        <w:jc w:val="both"/>
        <w:ind w:left="1100" w:hanging="390"/>
        <w:spacing w:after="0" w:line="266" w:lineRule="auto"/>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Stockholders can mail communications to the Board, c/o Secretary, ZW Data Action Technologies Inc., 8/F. 29 Des Voeux Road Central, Central, Hong Kong, who will forward the correspondence to each addressee.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300" w:firstLine="486"/>
        <w:spacing w:after="0" w:line="281"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Company’s directors and executive officers and any beneficial owner of more than 10% of any class of Company equity security to file reports of ownership and changes in ownership with the Securities and Exchange Commission and furnish copies of the reports to Company. Based solely on the Company’s review of copies of such forms and written representations by Company’s executive officers and directors received by it, Company believes that during 2025, all such reports were filed timely, except for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220" w:type="dxa"/>
            <w:vAlign w:val="bottom"/>
          </w:tcPr>
          <w:p>
            <w:pPr>
              <w:spacing w:after="0"/>
              <w:rPr>
                <w:sz w:val="18"/>
                <w:szCs w:val="18"/>
                <w:color w:val="auto"/>
              </w:rPr>
            </w:pPr>
          </w:p>
        </w:tc>
        <w:tc>
          <w:tcPr>
            <w:tcW w:w="2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Late Reports</w:t>
            </w:r>
          </w:p>
        </w:tc>
        <w:tc>
          <w:tcPr>
            <w:tcW w:w="22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Covered</w:t>
            </w:r>
          </w:p>
        </w:tc>
        <w:tc>
          <w:tcPr>
            <w:tcW w:w="220" w:type="dxa"/>
            <w:vAlign w:val="bottom"/>
          </w:tcPr>
          <w:p>
            <w:pPr>
              <w:spacing w:after="0"/>
              <w:rPr>
                <w:sz w:val="20"/>
                <w:szCs w:val="20"/>
                <w:color w:val="auto"/>
              </w:rPr>
            </w:pPr>
          </w:p>
        </w:tc>
        <w:tc>
          <w:tcPr>
            <w:tcW w:w="26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Chu</w:t>
            </w:r>
          </w:p>
        </w:tc>
        <w:tc>
          <w:tcPr>
            <w:tcW w:w="2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Form 4</w:t>
            </w:r>
          </w:p>
        </w:tc>
        <w:tc>
          <w:tcPr>
            <w:tcW w:w="22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89,606 </w:t>
            </w:r>
            <w:r>
              <w:rPr>
                <w:rFonts w:ascii="Times New Roman" w:cs="Times New Roman" w:eastAsia="Times New Roman" w:hAnsi="Times New Roman"/>
                <w:sz w:val="14"/>
                <w:szCs w:val="14"/>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right="100" w:hanging="492"/>
        <w:spacing w:after="0" w:line="241"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25, 2024, we entered into a securities purchase agreement with Marvel Investment Limited, a British Virgin Islands company owned and controlled by George Kai Chu, a director of the Company, pursuant to which Marvel Investment Limited agreed to purchase 89,606 shares of the Company’s common stock for an aggregate purchase price of US$268,818. On June 10, 2025, the transaction with Marvel Investment Limited was completed.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not adopted or established a formal policy or procedure for determining the amount of compensation paid to our executive officers. No pre-established, objective performance goals or metrics have been used by the Board of Directors in determining the compensation of our executive officers.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Our executive officers receive a base salary to compensate them for services rendered during the year. In additional to their base salary, we also provide equity incentives to attract and retain executive talent for the Company’s continued success.</w:t>
      </w:r>
    </w:p>
    <w:p>
      <w:pPr>
        <w:spacing w:after="0" w:line="16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Base Salary and Bonus. The value of base salary and bonus for each our executive reflects his skill set and the market value of that skill set in the sole discretion of the Board of Director.</w:t>
      </w:r>
    </w:p>
    <w:p>
      <w:pPr>
        <w:spacing w:after="0" w:line="16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Equity Incentives. The ZW Data Action Technologies Inc. (f/k/a) ChinaNet Online Holdings, Inc. 2025 Equity Incentive Plan (the “2025 Plan”) provides for the granting of distribution equivalent rights, incentive stock options, non-qualified stock options, performance share awards,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therein (the “Awards”). Certain Awards are intended to qualify as “incentive stock options” within the meaning of the Internal Revenue Code (the “Code”). The 2025 Plan was approved by our stockholders on December 1, 2025.</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Retirement Benefits. Our executive officers are not presently entitled to company-sponsored retirement benefits.</w:t>
      </w:r>
    </w:p>
    <w:p>
      <w:pPr>
        <w:spacing w:after="0" w:line="225"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Perquisites. We have not provided our executive officers with any material perquisites and other personal benefits and, therefore, we do not view perquisites as a significant or necessary element of our executive’s compensation.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Compensation. We do not provide our executives the opportunity to defer receipt of annual compensation.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27"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of the named executive officers for each of the two fiscal years in the period ended December 31,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OF NAMED EXECUTIVE OFFICERS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Stock Awards</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97"/>
              </w:rPr>
              <w:t>Option Awards</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4"/>
        </w:trPr>
        <w:tc>
          <w:tcPr>
            <w:tcW w:w="4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120" w:type="dxa"/>
            <w:vAlign w:val="bottom"/>
          </w:tcPr>
          <w:p>
            <w:pPr>
              <w:spacing w:after="0"/>
              <w:rPr>
                <w:sz w:val="20"/>
                <w:szCs w:val="20"/>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Year</w:t>
            </w:r>
          </w:p>
        </w:tc>
        <w:tc>
          <w:tcPr>
            <w:tcW w:w="13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90"/>
              <w:spacing w:after="0" w:line="235"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1"/>
                <w:szCs w:val="11"/>
                <w:color w:val="auto"/>
              </w:rPr>
              <w:t xml:space="preserve"> (1)</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44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Handong Cheng (Chief Executive Officer and Acting Chief</w:t>
            </w: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3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4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24,504</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24,504</w:t>
            </w:r>
          </w:p>
        </w:tc>
      </w:tr>
      <w:tr>
        <w:trPr>
          <w:trHeight w:val="234"/>
        </w:trPr>
        <w:tc>
          <w:tcPr>
            <w:tcW w:w="4400" w:type="dxa"/>
            <w:vAlign w:val="bottom"/>
          </w:tcPr>
          <w:p>
            <w:pPr>
              <w:spacing w:after="0"/>
              <w:rPr>
                <w:sz w:val="20"/>
                <w:szCs w:val="20"/>
                <w:color w:val="auto"/>
              </w:rPr>
            </w:pPr>
          </w:p>
        </w:tc>
        <w:tc>
          <w:tcPr>
            <w:tcW w:w="14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21,062</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21,062</w:t>
            </w:r>
          </w:p>
        </w:tc>
      </w:tr>
    </w:tbl>
    <w:p>
      <w:pPr>
        <w:spacing w:after="0" w:line="17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the restricted stock awarded to each named executive officer is computed in accordance with FASB ASC Topic 718.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2" w:name="page83"/>
    <w:bookmarkEnd w:id="82"/>
    <w:p>
      <w:pPr>
        <w:ind w:firstLine="486"/>
        <w:spacing w:after="0" w:line="266" w:lineRule="auto"/>
        <w:rPr>
          <w:sz w:val="20"/>
          <w:szCs w:val="20"/>
          <w:color w:val="auto"/>
        </w:rPr>
      </w:pPr>
      <w:r>
        <w:rPr>
          <w:rFonts w:ascii="Times New Roman" w:cs="Times New Roman" w:eastAsia="Times New Roman" w:hAnsi="Times New Roman"/>
          <w:sz w:val="18"/>
          <w:szCs w:val="18"/>
          <w:color w:val="auto"/>
        </w:rPr>
        <w:t>Our executive officers are reimbursed by us for any out-of-pocket expenses incurred in connection with activities conducted on our behalf. There is no limit on the amount of these out-of-pocket expenses and there will be no review of the reasonableness of such expenses by anyone other than our Board, which includes persons who may seek reimbursement, or a court of competent jurisdiction if such reimbursement is challenged.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enter into a standard employment contract with our executive officers for a set period of years. According to the contracts, these executive officers will devote substantially all of his/her time to the service of our company and may not compete directly or indirectly with us. These executive officers also agreed that in the event that his/her employment with us is terminated, for a period of two year following the date of his/her termination of employment, he/she will not contact, for any commercial purpose, or provide to a third party, information about clients or entities with which we were acquainted during the term of his employment with us. Subject to certain exceptions, either party may terminate the employment agreement upon 30 days prior written notice.</w:t>
      </w:r>
    </w:p>
    <w:p>
      <w:pPr>
        <w:spacing w:after="0" w:line="187"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none outstanding equity incentive awards held by the named executive officers as of the fiscal year ended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discussed above, we do not have change-in-control agreements with any of our directors or executive officers, and we are not obligated to pay severance or other enhanced benefits to executive officers upon termination of their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3" w:name="page84"/>
    <w:bookmarkEnd w:id="83"/>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compensation of each director, other than named executive officers, for fiscal 2025.</w:t>
      </w: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 2025 DIRECTOR COMPENSATION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Fees</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Nonqualified</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Earned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Non-Equity</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Deferred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or Paid</w:t>
            </w: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Option</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Incentive Plan</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in Cash</w:t>
            </w:r>
          </w:p>
        </w:tc>
        <w:tc>
          <w:tcPr>
            <w:tcW w:w="100" w:type="dxa"/>
            <w:vAlign w:val="bottom"/>
          </w:tcPr>
          <w:p>
            <w:pPr>
              <w:spacing w:after="0"/>
              <w:rPr>
                <w:sz w:val="18"/>
                <w:szCs w:val="18"/>
                <w:color w:val="auto"/>
              </w:rPr>
            </w:pPr>
          </w:p>
        </w:tc>
        <w:tc>
          <w:tcPr>
            <w:tcW w:w="980" w:type="dxa"/>
            <w:vAlign w:val="bottom"/>
          </w:tcPr>
          <w:p>
            <w:pPr>
              <w:jc w:val="center"/>
              <w:ind w:right="10"/>
              <w:spacing w:after="0" w:line="216" w:lineRule="exact"/>
              <w:rPr>
                <w:sz w:val="20"/>
                <w:szCs w:val="20"/>
                <w:color w:val="auto"/>
              </w:rPr>
            </w:pPr>
            <w:r>
              <w:rPr>
                <w:rFonts w:ascii="Times New Roman" w:cs="Times New Roman" w:eastAsia="Times New Roman" w:hAnsi="Times New Roman"/>
                <w:sz w:val="18"/>
                <w:szCs w:val="18"/>
                <w:color w:val="auto"/>
                <w:w w:val="91"/>
              </w:rPr>
              <w:t xml:space="preserve">Awards </w:t>
            </w:r>
            <w:r>
              <w:rPr>
                <w:rFonts w:ascii="Times New Roman" w:cs="Times New Roman" w:eastAsia="Times New Roman" w:hAnsi="Times New Roman"/>
                <w:sz w:val="23"/>
                <w:szCs w:val="23"/>
                <w:color w:val="auto"/>
                <w:w w:val="91"/>
                <w:vertAlign w:val="superscript"/>
              </w:rPr>
              <w:t>(1)</w:t>
            </w: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Compensation</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Compensation</w:t>
            </w:r>
          </w:p>
        </w:tc>
        <w:tc>
          <w:tcPr>
            <w:tcW w:w="12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2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 Qiu</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Zhiqing Chen</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Kai Chu</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Chung Wang Yiu (Ron)</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2,570</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Justin Tam</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the restricted stock awarded to each director is computed in accordance with FASB ASC Topic 718.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It is our policy to not enter any transaction (other than compensation arrangements in the ordinary course) with any director, executive officer, employee, or principal stockholder or party related to them, unless authorized by a majority of the directors having no interest in the transaction, upon a favorable recommendation by the Audit Committee (or a majority of its disinterested members).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left="1300" w:right="6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Common Stock, as of March 31, 2026, by each of the Company’s directors and executive officers; all executive officers and directors as a group, and each person known to the Company to own beneficially more than 5% of Company’s Common Stock. Except as otherwise noted, the persons identified have sole voting and investment powers with respect to their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1053"/>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187"/>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16"/>
                <w:szCs w:val="16"/>
                <w:color w:val="auto"/>
              </w:rPr>
            </w:pPr>
          </w:p>
        </w:tc>
        <w:tc>
          <w:tcPr>
            <w:tcW w:w="1640" w:type="dxa"/>
            <w:vAlign w:val="bottom"/>
          </w:tcPr>
          <w:p>
            <w:pPr>
              <w:jc w:val="right"/>
              <w:ind w:right="533"/>
              <w:spacing w:after="0" w:line="188" w:lineRule="exact"/>
              <w:rPr>
                <w:sz w:val="20"/>
                <w:szCs w:val="20"/>
                <w:color w:val="auto"/>
              </w:rPr>
            </w:pPr>
            <w:r>
              <w:rPr>
                <w:rFonts w:ascii="Times New Roman" w:cs="Times New Roman" w:eastAsia="Times New Roman" w:hAnsi="Times New Roman"/>
                <w:sz w:val="18"/>
                <w:szCs w:val="18"/>
                <w:b w:val="1"/>
                <w:bCs w:val="1"/>
                <w:color w:val="auto"/>
              </w:rPr>
              <w:t>Percent</w:t>
            </w:r>
          </w:p>
        </w:tc>
      </w:tr>
      <w:tr>
        <w:trPr>
          <w:trHeight w:val="238"/>
        </w:trPr>
        <w:tc>
          <w:tcPr>
            <w:tcW w:w="784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Name and Address of Beneficial Owner </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413"/>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of Class </w:t>
            </w:r>
            <w:r>
              <w:rPr>
                <w:rFonts w:ascii="Times New Roman" w:cs="Times New Roman" w:eastAsia="Times New Roman" w:hAnsi="Times New Roman"/>
                <w:sz w:val="27"/>
                <w:szCs w:val="27"/>
                <w:b w:val="1"/>
                <w:bCs w:val="1"/>
                <w:color w:val="auto"/>
                <w:vertAlign w:val="superscript"/>
              </w:rPr>
              <w:t>(2)</w:t>
            </w:r>
          </w:p>
        </w:tc>
      </w:tr>
      <w:tr>
        <w:trPr>
          <w:trHeight w:val="209"/>
        </w:trPr>
        <w:tc>
          <w:tcPr>
            <w:tcW w:w="78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Handong Cheng </w:t>
            </w:r>
            <w:r>
              <w:rPr>
                <w:rFonts w:ascii="Times New Roman" w:cs="Times New Roman" w:eastAsia="Times New Roman" w:hAnsi="Times New Roman"/>
                <w:sz w:val="23"/>
                <w:szCs w:val="23"/>
                <w:color w:val="auto"/>
                <w:vertAlign w:val="superscript"/>
              </w:rPr>
              <w:t>(3)(5)</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276,774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George Kai Chu </w:t>
            </w: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95,833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Zhiqing Chen </w:t>
            </w:r>
            <w:r>
              <w:rPr>
                <w:rFonts w:ascii="Times New Roman" w:cs="Times New Roman" w:eastAsia="Times New Roman" w:hAnsi="Times New Roman"/>
                <w:sz w:val="23"/>
                <w:szCs w:val="23"/>
                <w:color w:val="auto"/>
                <w:vertAlign w:val="superscript"/>
              </w:rPr>
              <w:t>(7)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3,500</w:t>
            </w:r>
          </w:p>
        </w:tc>
        <w:tc>
          <w:tcPr>
            <w:tcW w:w="17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Chang Qiu </w:t>
            </w:r>
            <w:r>
              <w:rPr>
                <w:rFonts w:ascii="Times New Roman" w:cs="Times New Roman" w:eastAsia="Times New Roman" w:hAnsi="Times New Roman"/>
                <w:sz w:val="23"/>
                <w:szCs w:val="23"/>
                <w:color w:val="auto"/>
                <w:vertAlign w:val="superscript"/>
              </w:rPr>
              <w:t>(8)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w:t>
            </w:r>
          </w:p>
        </w:tc>
        <w:tc>
          <w:tcPr>
            <w:tcW w:w="174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Chung Wang Yiu (Ron)</w:t>
            </w:r>
          </w:p>
        </w:tc>
        <w:tc>
          <w:tcPr>
            <w:tcW w:w="100" w:type="dxa"/>
            <w:vAlign w:val="bottom"/>
          </w:tcPr>
          <w:p>
            <w:pPr>
              <w:spacing w:after="0"/>
              <w:rPr>
                <w:sz w:val="17"/>
                <w:szCs w:val="17"/>
                <w:color w:val="auto"/>
              </w:rPr>
            </w:pPr>
          </w:p>
        </w:tc>
        <w:tc>
          <w:tcPr>
            <w:tcW w:w="15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93"/>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Fernando Chen I-Ting</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Justin Tam</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398,607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12.20%</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Rise King Investments Limited </w:t>
            </w:r>
            <w:r>
              <w:rPr>
                <w:rFonts w:ascii="Times New Roman" w:cs="Times New Roman" w:eastAsia="Times New Roman" w:hAnsi="Times New Roman"/>
                <w:sz w:val="25"/>
                <w:szCs w:val="25"/>
                <w:color w:val="auto"/>
                <w:vertAlign w:val="superscript"/>
              </w:rPr>
              <w:t>(3)(4)</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147,099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Zhige Zhang </w:t>
            </w:r>
            <w:r>
              <w:rPr>
                <w:rFonts w:ascii="Times New Roman" w:cs="Times New Roman" w:eastAsia="Times New Roman" w:hAnsi="Times New Roman"/>
                <w:sz w:val="25"/>
                <w:szCs w:val="25"/>
                <w:color w:val="auto"/>
                <w:vertAlign w:val="superscript"/>
              </w:rPr>
              <w:t>(3)(9)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148,264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7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Xuanfu Liu </w:t>
            </w:r>
            <w:r>
              <w:rPr>
                <w:rFonts w:ascii="Times New Roman" w:cs="Times New Roman" w:eastAsia="Times New Roman" w:hAnsi="Times New Roman"/>
                <w:sz w:val="25"/>
                <w:szCs w:val="25"/>
                <w:color w:val="auto"/>
                <w:vertAlign w:val="superscript"/>
              </w:rPr>
              <w:t>(3)(10)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149,599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198"/>
        </w:trPr>
        <w:tc>
          <w:tcPr>
            <w:tcW w:w="7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 Less than one percent.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98"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director and executive officer is c/o ZW Data Action Technologies Inc., 8/F. 29 Des Voeux Road Central, Central, Hong Kong.</w:t>
      </w:r>
    </w:p>
    <w:p>
      <w:pPr>
        <w:spacing w:after="0" w:line="225" w:lineRule="exact"/>
        <w:rPr>
          <w:rFonts w:ascii="Times New Roman" w:cs="Times New Roman" w:eastAsia="Times New Roman" w:hAnsi="Times New Roman"/>
          <w:sz w:val="18"/>
          <w:szCs w:val="18"/>
          <w:color w:val="auto"/>
        </w:rPr>
      </w:pPr>
    </w:p>
    <w:p>
      <w:pPr>
        <w:ind w:right="20" w:firstLine="8"/>
        <w:spacing w:after="0" w:line="258" w:lineRule="auto"/>
        <w:tabs>
          <w:tab w:leader="none" w:pos="3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Shares of Common Stock subject to securities anticipated to be exercisable or convertible at or within 60 days of April 15, 2025, are deemed outstanding for computing the percentage of the person holding such option or warrant but are not deemed outstanding for computing the percentage of any other person. The indication herein that shares are anticipated to be beneficially owned is not an admission on the part of the listed stockholder that he, she or it is or will be a direct or indirect beneficial owner of those shares.</w:t>
      </w:r>
    </w:p>
    <w:p>
      <w:pPr>
        <w:spacing w:after="0" w:line="183" w:lineRule="exact"/>
        <w:rPr>
          <w:rFonts w:ascii="Times New Roman" w:cs="Times New Roman" w:eastAsia="Times New Roman" w:hAnsi="Times New Roman"/>
          <w:sz w:val="18"/>
          <w:szCs w:val="18"/>
          <w:color w:val="auto"/>
        </w:rPr>
      </w:pPr>
    </w:p>
    <w:p>
      <w:pPr>
        <w:ind w:right="200" w:firstLine="8"/>
        <w:spacing w:after="0" w:line="281" w:lineRule="auto"/>
        <w:tabs>
          <w:tab w:leader="none" w:pos="39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Rise King Investments Limited (“Rise King”) is collectively owned by Handong Cheng, Xuanfu Liu and Zhige Zhang. As a result, Mr. Cheng, Mr. Liu and Mr. Zhang may be deemed to be beneficial owners of the shares of our common stock held by Rise King. Each of Mr. Cheng, Mr. Liu and Mr. Zhang disclaim such beneficial ownership, and nothing herein shall be deemed to be an admission that Mr. Cheng, Mr. Liu or Mr. Zhang is the beneficial owner of any such shares for any purpose. Information regarding this beneficial owner is furnished in reliance upon the Form 4, dated August 18, 2015.</w:t>
      </w:r>
    </w:p>
    <w:p>
      <w:pPr>
        <w:spacing w:after="0" w:line="164" w:lineRule="exact"/>
        <w:rPr>
          <w:rFonts w:ascii="Times New Roman" w:cs="Times New Roman" w:eastAsia="Times New Roman" w:hAnsi="Times New Roman"/>
          <w:sz w:val="17"/>
          <w:szCs w:val="17"/>
          <w:color w:val="auto"/>
        </w:rPr>
      </w:pPr>
    </w:p>
    <w:p>
      <w:pPr>
        <w:ind w:right="120" w:firstLine="8"/>
        <w:spacing w:after="0" w:line="282" w:lineRule="auto"/>
        <w:tabs>
          <w:tab w:leader="none" w:pos="3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Rise King Investments Limited is P.O. Box 957, Offshore Incorporations Center, Road Town, Tortola, British Virgin Islands. Information regarding this beneficial owner is furnished in reliance upon the Schedule 13D, dated July 6, 2009.</w:t>
      </w:r>
    </w:p>
    <w:p>
      <w:pPr>
        <w:spacing w:after="0" w:line="161" w:lineRule="exact"/>
        <w:rPr>
          <w:rFonts w:ascii="Times New Roman" w:cs="Times New Roman" w:eastAsia="Times New Roman" w:hAnsi="Times New Roman"/>
          <w:sz w:val="18"/>
          <w:szCs w:val="18"/>
          <w:color w:val="auto"/>
        </w:rPr>
      </w:pPr>
    </w:p>
    <w:p>
      <w:pPr>
        <w:ind w:right="120" w:firstLine="8"/>
        <w:spacing w:after="0" w:line="282" w:lineRule="auto"/>
        <w:tabs>
          <w:tab w:leader="none" w:pos="3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Cheng; and (ii) 129,675 shares of common stock owned directly by Mr. Cheng.</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3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6,227 shares of common stock owned directly by Mr. Chu and (ii) 89,606 shares of common stock owned by Marvel Investment Limited and which are deemed to be beneficially owned by Mr. Chu.</w:t>
      </w:r>
    </w:p>
    <w:p>
      <w:pPr>
        <w:spacing w:after="0" w:line="16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3,500 shares of common stock.</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22,500 shares of common stock.</w:t>
      </w:r>
    </w:p>
    <w:p>
      <w:pPr>
        <w:spacing w:after="0" w:line="225" w:lineRule="exact"/>
        <w:rPr>
          <w:rFonts w:ascii="Times New Roman" w:cs="Times New Roman" w:eastAsia="Times New Roman" w:hAnsi="Times New Roman"/>
          <w:sz w:val="18"/>
          <w:szCs w:val="18"/>
          <w:color w:val="auto"/>
        </w:rPr>
      </w:pPr>
    </w:p>
    <w:p>
      <w:pPr>
        <w:ind w:right="300" w:firstLine="8"/>
        <w:spacing w:after="0" w:line="213" w:lineRule="auto"/>
        <w:tabs>
          <w:tab w:leader="none" w:pos="39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Zhang; and (ii) 1,165 shares of common stock owned directly by Mr. Zhang. The address of Mr. Zhang 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Yingdu Plaza, No. Jia 48, Zhichunlu, Haidian District, Beijing, PRC 100086.</w:t>
      </w:r>
    </w:p>
    <w:p>
      <w:pPr>
        <w:spacing w:after="0" w:line="200" w:lineRule="exact"/>
        <w:rPr>
          <w:rFonts w:ascii="Times New Roman" w:cs="Times New Roman" w:eastAsia="Times New Roman" w:hAnsi="Times New Roman"/>
          <w:sz w:val="18"/>
          <w:szCs w:val="18"/>
          <w:color w:val="auto"/>
        </w:rPr>
      </w:pPr>
    </w:p>
    <w:p>
      <w:pPr>
        <w:ind w:right="280" w:firstLine="8"/>
        <w:spacing w:after="0" w:line="266" w:lineRule="auto"/>
        <w:tabs>
          <w:tab w:leader="none" w:pos="5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147,099 shares of common stock owned by Rise King and which are deemed to be beneficially owned by Mr. Liu; and (ii) 2,500 shares of common stock owned directly by Mr. Liu. The address of Mr. Liu is Building 6, Block 3, Hanwei Guoji Guangchang Zhongguancun Kejiyuan Fengtaiyuan, Fengtai District, Beijing, PRC 100070.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32,500,000 shares, consisting of 12,500,000 shares of common stock par value $.001 per share, and 20,000,000 shares of preferred stock, par value $.001 per share.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 As of December 31, 2025, we had 3,268,429 shares of common stock issued and outstanding, which number was restated to reflect the retrospective effect of the 1-for-4 reserve stock split on September 30, 2024. None of our preferred stock is currently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our 2025 Equity Incentive Plan and 2024 Equity Incentive plan was in effect.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2025 about our equity compensation plan and arrangements: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securities to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and restricted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and restricted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w:t>
            </w:r>
          </w:p>
        </w:tc>
      </w:tr>
    </w:tbl>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Audit Committee, pursuant to its written charter, is responsible for reviewing and approving related party transactions to the extent we enter into such transactions. The Audit Committee will consider all relevant factors when determining whether to approve a related party transaction, including whether the related party transaction is on terms no less favorable than terms generally available to an unaffiliated third-party under the same or similar circumstances and the extent of the related party’s interest in the transaction. These procedures are intended to determine whether any such related party transaction impairs the independence of a director or presents a conflict of interest on the part of a director, employee or officer.</w:t>
      </w:r>
    </w:p>
    <w:p>
      <w:pPr>
        <w:spacing w:after="0" w:line="18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the beginning of fiscal 2025 or any currently proposed transaction, in which we were or are to be a participant and the amount involved exceeded or exceeds the lesser of $120,000 and 1% of the average of our total assets at December 31, 2024 and 2025 and in which any related person had or will have a direct or indirect material interest (other than compensation described under “Executive Compensation”):</w:t>
      </w:r>
    </w:p>
    <w:p>
      <w:pPr>
        <w:spacing w:after="0" w:line="180" w:lineRule="exact"/>
        <w:rPr>
          <w:sz w:val="20"/>
          <w:szCs w:val="20"/>
          <w:color w:val="auto"/>
        </w:rPr>
      </w:pPr>
    </w:p>
    <w:p>
      <w:pPr>
        <w:ind w:right="9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 balance due to Handong Cheng, Chief Executive Officer and director of the Company, of approximately US$0.47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On September 25, 2024, we entered into a securities purchase agreement with Marvel Investment Limited, a British Virgin Island company, which is owned and controlled by George Kai Chu, a director of the Company (“Marvel Investment”), pursuant to which Marvel Investment agreed to purchase 89,606 shares of common stock of the Company, for an aggregate purchase price of US$268,818. On the date that the securities purchase agreement was signed, Marvel Investment also entered into a lock-up agreement with the Company, whereby Marvel Investment agreed not to transfer the shares until six-month anniversary of the date of the securities purchase agreement. The number of shares have been restated to reflect the effect of the 1-for-4 reverse stock split on September 30, 2024. On June 10, 2025, the transaction with Marvel Investment was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Board has determined that Chung Wang Yiu (Ron), Fernando Chen I-Ting, Justin Tam, Zhiqing Chen and Chang Qiu are “independent” under the current independence standards of Rule 5605(a)(2) of the Marketplace Rules of The Nasdaq Stock Market, LLC and meet the criteria set forth in Rule 10A(m)(3) under the U.S. Securities Exchange Act of 1934, as amended (the “Exchange Act”).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 AND SERVICES</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for the years ended December 31, 2025 and 2024, by categories specified below in connection with certain professional services rendered by ARK Pro CPA &amp; Co. (“ARK”) our independent registered public accounting firm, whom we engaged on July 26, 2023 and by Centurion ZD CPA &amp; Co. (“CZD”) our former independent registered public accounting firm, that we dismissed on the same date as we engaged ARK.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296,073</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right="660" w:firstLine="486"/>
        <w:spacing w:after="0" w:line="266" w:lineRule="auto"/>
        <w:rPr>
          <w:sz w:val="20"/>
          <w:szCs w:val="20"/>
          <w:color w:val="auto"/>
        </w:rPr>
      </w:pPr>
      <w:r>
        <w:rPr>
          <w:rFonts w:ascii="Times New Roman" w:cs="Times New Roman" w:eastAsia="Times New Roman" w:hAnsi="Times New Roman"/>
          <w:sz w:val="18"/>
          <w:szCs w:val="18"/>
          <w:color w:val="auto"/>
        </w:rPr>
        <w:t>This category includes aggregate fees billed by our independent auditors for the audit of our annual financial statements, review of financial statements included in our quarterly reports on Form 10-Q and services that are normally provided by the auditor in connection with statutory and regulatory filings for those fiscal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This category consists of services by our independent auditors that, including accounting consultations on transaction related matters, are reasonably related to the performance of the audit or review of our financial statements and are not reported above under Audit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category consists of professional services rendered for tax compliance and preparation of our corporate tax returns and other tax advice.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This category consists of professional services rendered for products and services provided, other than the services reported above under Audit Fees, Audit-Related Fees and Tax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Pre-Approval of Services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Audit Committee must pre-approve all audit, review, attest and permissible non-audit services (including any permissible internal control-related services) to be provided to the company or its subsidiaries by the independent auditors. The Audit Committee may establish pre-approval policies and procedures in compliance with applicable SEC rules. All services described under the caption Services and Fees of Independent Accountants were pre-approved.</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with this report: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on the Financial Statement’s Table of Contents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referred to below, which include the following managerial contracts or compensatory plans or arrangements:</w:t>
      </w:r>
    </w:p>
    <w:p>
      <w:pPr>
        <w:spacing w:after="0" w:line="252" w:lineRule="exact"/>
        <w:rPr>
          <w:sz w:val="20"/>
          <w:szCs w:val="20"/>
          <w:color w:val="auto"/>
        </w:rPr>
      </w:pPr>
    </w:p>
    <w:p>
      <w:pPr>
        <w:ind w:left="760" w:right="14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u w:val="single" w:color="auto"/>
          <w:color w:val="0000EE"/>
        </w:rPr>
        <w:tab/>
      </w:r>
      <w:hyperlink r:id="rId92">
        <w:r>
          <w:rPr>
            <w:rFonts w:ascii="Times New Roman" w:cs="Times New Roman" w:eastAsia="Times New Roman" w:hAnsi="Times New Roman"/>
            <w:sz w:val="18"/>
            <w:szCs w:val="18"/>
            <w:u w:val="single" w:color="auto"/>
            <w:color w:val="0000EE"/>
          </w:rPr>
          <w:t>Share Exchange Agreement, dated as of June 26, 2009, by and among Emazing Interactive, Inc., G. Edward Hancock, China Net Online Media</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Group Limited, and the shareholders of China Net Online Media Group Limited. (Incorporated by reference herein to the Exhibit 2.1 to the</w:t>
        </w:r>
      </w:hyperlink>
      <w:r>
        <w:rPr>
          <w:rFonts w:ascii="Times New Roman" w:cs="Times New Roman" w:eastAsia="Times New Roman" w:hAnsi="Times New Roman"/>
          <w:sz w:val="18"/>
          <w:szCs w:val="18"/>
          <w:u w:val="single" w:color="auto"/>
          <w:color w:val="0000EE"/>
        </w:rPr>
        <w:t xml:space="preserve"> </w:t>
      </w:r>
      <w:hyperlink r:id="rId92">
        <w:r>
          <w:rPr>
            <w:rFonts w:ascii="Times New Roman" w:cs="Times New Roman" w:eastAsia="Times New Roman" w:hAnsi="Times New Roman"/>
            <w:sz w:val="18"/>
            <w:szCs w:val="18"/>
            <w:u w:val="single" w:color="auto"/>
            <w:color w:val="0000EE"/>
          </w:rPr>
          <w:t>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60" w:right="4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2.2</w:t>
        </w:r>
      </w:hyperlink>
      <w:r>
        <w:rPr>
          <w:rFonts w:ascii="Times New Roman" w:cs="Times New Roman" w:eastAsia="Times New Roman" w:hAnsi="Times New Roman"/>
          <w:sz w:val="18"/>
          <w:szCs w:val="18"/>
          <w:u w:val="single" w:color="auto"/>
          <w:color w:val="0000EE"/>
        </w:rPr>
        <w:tab/>
      </w:r>
      <w:hyperlink r:id="rId93">
        <w:r>
          <w:rPr>
            <w:rFonts w:ascii="Times New Roman" w:cs="Times New Roman" w:eastAsia="Times New Roman" w:hAnsi="Times New Roman"/>
            <w:sz w:val="18"/>
            <w:szCs w:val="18"/>
            <w:u w:val="single" w:color="auto"/>
            <w:color w:val="0000EE"/>
          </w:rPr>
          <w:t>Agreement and Plan of Merger (Incorporated by reference herein to the Exhibit 2.1 to the Company’s Current Report on Form 8-K filed with the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Securities and Exchange Commission on July 24, 2009)</w:t>
        </w:r>
      </w:hyperlink>
    </w:p>
    <w:p>
      <w:pPr>
        <w:spacing w:after="0" w:line="162" w:lineRule="exact"/>
        <w:rPr>
          <w:rFonts w:ascii="Times New Roman" w:cs="Times New Roman" w:eastAsia="Times New Roman" w:hAnsi="Times New Roman"/>
          <w:sz w:val="18"/>
          <w:szCs w:val="18"/>
          <w:u w:val="single" w:color="auto"/>
          <w:color w:val="0000EE"/>
        </w:rPr>
      </w:pPr>
    </w:p>
    <w:p>
      <w:pPr>
        <w:ind w:left="760" w:right="2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94">
        <w:r>
          <w:rPr>
            <w:rFonts w:ascii="Times New Roman" w:cs="Times New Roman" w:eastAsia="Times New Roman" w:hAnsi="Times New Roman"/>
            <w:sz w:val="18"/>
            <w:szCs w:val="18"/>
            <w:u w:val="single" w:color="auto"/>
            <w:color w:val="0000EE"/>
          </w:rPr>
          <w:t>Articles of Incorporation of Emazing Interactive, Inc., as amended (Incorporated by reference herein to the Exhibit 3.1 to the Company’s Current</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Report on Form 8-K filed on July 2, 2009)</w:t>
        </w:r>
      </w:hyperlink>
    </w:p>
    <w:p>
      <w:pPr>
        <w:spacing w:after="0" w:line="162" w:lineRule="exact"/>
        <w:rPr>
          <w:rFonts w:ascii="Times New Roman" w:cs="Times New Roman" w:eastAsia="Times New Roman" w:hAnsi="Times New Roman"/>
          <w:sz w:val="18"/>
          <w:szCs w:val="18"/>
          <w:u w:val="single" w:color="auto"/>
          <w:color w:val="0000EE"/>
        </w:rPr>
      </w:pPr>
    </w:p>
    <w:p>
      <w:pPr>
        <w:ind w:left="760" w:right="12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95">
        <w:r>
          <w:rPr>
            <w:rFonts w:ascii="Times New Roman" w:cs="Times New Roman" w:eastAsia="Times New Roman" w:hAnsi="Times New Roman"/>
            <w:sz w:val="18"/>
            <w:szCs w:val="18"/>
            <w:u w:val="single" w:color="auto"/>
            <w:color w:val="0000EE"/>
          </w:rPr>
          <w:t>Certificate of Amendment to Articles of Incorporation (Incorporated by reference herein to the Exhibit 3.1 to the Company’s Current Report on</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Form 8-K filed with the Securities and Exchange Commission on August 18, 2016)</w:t>
        </w:r>
      </w:hyperlink>
    </w:p>
    <w:p>
      <w:pPr>
        <w:spacing w:after="0" w:line="162" w:lineRule="exact"/>
        <w:rPr>
          <w:rFonts w:ascii="Times New Roman" w:cs="Times New Roman" w:eastAsia="Times New Roman" w:hAnsi="Times New Roman"/>
          <w:sz w:val="18"/>
          <w:szCs w:val="18"/>
          <w:u w:val="single" w:color="auto"/>
          <w:color w:val="0000EE"/>
        </w:rPr>
      </w:pPr>
    </w:p>
    <w:p>
      <w:pPr>
        <w:ind w:left="760" w:right="1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u w:val="single" w:color="auto"/>
          <w:color w:val="0000EE"/>
        </w:rPr>
        <w:tab/>
      </w:r>
      <w:hyperlink r:id="rId96">
        <w:r>
          <w:rPr>
            <w:rFonts w:ascii="Times New Roman" w:cs="Times New Roman" w:eastAsia="Times New Roman" w:hAnsi="Times New Roman"/>
            <w:sz w:val="18"/>
            <w:szCs w:val="18"/>
            <w:u w:val="single" w:color="auto"/>
            <w:color w:val="0000EE"/>
          </w:rPr>
          <w:t>Articles of Merger (Incorporated by reference herein to the Exhibit 3.1 to the Company’s Current Report on Form 8-K filed with the Securities</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and Exchange Commission on July 24, 2009)</w:t>
        </w:r>
      </w:hyperlink>
    </w:p>
    <w:p>
      <w:pPr>
        <w:spacing w:after="0" w:line="162" w:lineRule="exact"/>
        <w:rPr>
          <w:rFonts w:ascii="Times New Roman" w:cs="Times New Roman" w:eastAsia="Times New Roman" w:hAnsi="Times New Roman"/>
          <w:sz w:val="18"/>
          <w:szCs w:val="18"/>
          <w:u w:val="single" w:color="auto"/>
          <w:color w:val="0000EE"/>
        </w:rPr>
      </w:pPr>
    </w:p>
    <w:p>
      <w:pPr>
        <w:ind w:left="760" w:right="22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u w:val="single" w:color="auto"/>
          <w:color w:val="0000EE"/>
        </w:rPr>
        <w:tab/>
      </w:r>
      <w:hyperlink r:id="rId97">
        <w:r>
          <w:rPr>
            <w:rFonts w:ascii="Times New Roman" w:cs="Times New Roman" w:eastAsia="Times New Roman" w:hAnsi="Times New Roman"/>
            <w:sz w:val="18"/>
            <w:szCs w:val="18"/>
            <w:u w:val="single" w:color="auto"/>
            <w:color w:val="0000EE"/>
          </w:rPr>
          <w:t>By-laws. (Incorporated by reference herein to the Exhibit 2.4 to the Company’s Registration Statement on Form SB-1 filed with the Securities</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and Exchange Commission on October 20, 2006)</w:t>
        </w:r>
      </w:hyperlink>
    </w:p>
    <w:p>
      <w:pPr>
        <w:spacing w:after="0" w:line="162" w:lineRule="exact"/>
        <w:rPr>
          <w:rFonts w:ascii="Times New Roman" w:cs="Times New Roman" w:eastAsia="Times New Roman" w:hAnsi="Times New Roman"/>
          <w:sz w:val="18"/>
          <w:szCs w:val="18"/>
          <w:u w:val="single" w:color="auto"/>
          <w:color w:val="0000EE"/>
        </w:rPr>
      </w:pPr>
    </w:p>
    <w:p>
      <w:pPr>
        <w:ind w:left="760" w:right="3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u w:val="single" w:color="auto"/>
          <w:color w:val="0000EE"/>
        </w:rPr>
        <w:tab/>
      </w:r>
      <w:hyperlink r:id="rId98">
        <w:r>
          <w:rPr>
            <w:rFonts w:ascii="Times New Roman" w:cs="Times New Roman" w:eastAsia="Times New Roman" w:hAnsi="Times New Roman"/>
            <w:sz w:val="18"/>
            <w:szCs w:val="18"/>
            <w:u w:val="single" w:color="auto"/>
            <w:color w:val="0000EE"/>
          </w:rPr>
          <w:t>Certificate of Amendment to Articles of Incorporation (Incorporated by reference herein to Exhibit 3.1 of the Company’s Current Report on</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Form 8-K filed with the Securities and Exchange Commission on October 14, 2020)</w:t>
        </w:r>
      </w:hyperlink>
    </w:p>
    <w:p>
      <w:pPr>
        <w:spacing w:after="0" w:line="162" w:lineRule="exact"/>
        <w:rPr>
          <w:rFonts w:ascii="Times New Roman" w:cs="Times New Roman" w:eastAsia="Times New Roman" w:hAnsi="Times New Roman"/>
          <w:sz w:val="18"/>
          <w:szCs w:val="18"/>
          <w:u w:val="single" w:color="auto"/>
          <w:color w:val="0000EE"/>
        </w:rPr>
      </w:pPr>
    </w:p>
    <w:p>
      <w:pPr>
        <w:ind w:left="760" w:right="3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3.6</w:t>
        </w:r>
      </w:hyperlink>
      <w:r>
        <w:rPr>
          <w:rFonts w:ascii="Times New Roman" w:cs="Times New Roman" w:eastAsia="Times New Roman" w:hAnsi="Times New Roman"/>
          <w:sz w:val="18"/>
          <w:szCs w:val="18"/>
          <w:u w:val="single" w:color="auto"/>
          <w:color w:val="0000EE"/>
        </w:rPr>
        <w:tab/>
      </w:r>
      <w:hyperlink r:id="rId99">
        <w:r>
          <w:rPr>
            <w:rFonts w:ascii="Times New Roman" w:cs="Times New Roman" w:eastAsia="Times New Roman" w:hAnsi="Times New Roman"/>
            <w:sz w:val="18"/>
            <w:szCs w:val="18"/>
            <w:u w:val="single" w:color="auto"/>
            <w:color w:val="0000EE"/>
          </w:rPr>
          <w:t>Certificate of Amendment to Articles of Incorporation (Incorporated by reference herein to Exhibit 3.1 of the Company’s Current Report on</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Form 8-K filed with the Securities and Exchange Commission on July 9, 2021)</w:t>
        </w:r>
      </w:hyperlink>
    </w:p>
    <w:p>
      <w:pPr>
        <w:spacing w:after="0" w:line="162" w:lineRule="exact"/>
        <w:rPr>
          <w:rFonts w:ascii="Times New Roman" w:cs="Times New Roman" w:eastAsia="Times New Roman" w:hAnsi="Times New Roman"/>
          <w:sz w:val="18"/>
          <w:szCs w:val="18"/>
          <w:u w:val="single" w:color="auto"/>
          <w:color w:val="0000EE"/>
        </w:rPr>
      </w:pPr>
    </w:p>
    <w:p>
      <w:pPr>
        <w:ind w:left="760" w:right="3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3.7</w:t>
        </w:r>
      </w:hyperlink>
      <w:r>
        <w:rPr>
          <w:rFonts w:ascii="Times New Roman" w:cs="Times New Roman" w:eastAsia="Times New Roman" w:hAnsi="Times New Roman"/>
          <w:sz w:val="18"/>
          <w:szCs w:val="18"/>
          <w:u w:val="single" w:color="auto"/>
          <w:color w:val="0000EE"/>
        </w:rPr>
        <w:tab/>
      </w:r>
      <w:hyperlink r:id="rId100">
        <w:r>
          <w:rPr>
            <w:rFonts w:ascii="Times New Roman" w:cs="Times New Roman" w:eastAsia="Times New Roman" w:hAnsi="Times New Roman"/>
            <w:sz w:val="18"/>
            <w:szCs w:val="18"/>
            <w:u w:val="single" w:color="auto"/>
            <w:color w:val="0000EE"/>
          </w:rPr>
          <w:t>Certificate of Amendment to Articles of Incorporation (Incorporated by reference herein to Exhibit 3.1 of the Company’s Current Report on</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Form 8-K filed with the Securities and Exchange Commission on January 20, 2023)</w:t>
        </w:r>
      </w:hyperlink>
    </w:p>
    <w:p>
      <w:pPr>
        <w:spacing w:after="0" w:line="162" w:lineRule="exact"/>
        <w:rPr>
          <w:rFonts w:ascii="Times New Roman" w:cs="Times New Roman" w:eastAsia="Times New Roman" w:hAnsi="Times New Roman"/>
          <w:sz w:val="18"/>
          <w:szCs w:val="18"/>
          <w:u w:val="single" w:color="auto"/>
          <w:color w:val="0000EE"/>
        </w:rPr>
      </w:pPr>
    </w:p>
    <w:p>
      <w:pPr>
        <w:ind w:left="760" w:right="3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3.8</w:t>
        </w:r>
      </w:hyperlink>
      <w:r>
        <w:rPr>
          <w:rFonts w:ascii="Times New Roman" w:cs="Times New Roman" w:eastAsia="Times New Roman" w:hAnsi="Times New Roman"/>
          <w:sz w:val="18"/>
          <w:szCs w:val="18"/>
          <w:u w:val="single" w:color="auto"/>
          <w:color w:val="0000EE"/>
        </w:rPr>
        <w:tab/>
      </w:r>
      <w:hyperlink r:id="rId101">
        <w:r>
          <w:rPr>
            <w:rFonts w:ascii="Times New Roman" w:cs="Times New Roman" w:eastAsia="Times New Roman" w:hAnsi="Times New Roman"/>
            <w:sz w:val="18"/>
            <w:szCs w:val="18"/>
            <w:u w:val="single" w:color="auto"/>
            <w:color w:val="0000EE"/>
          </w:rPr>
          <w:t>Certificate of Amendment to Articles of Incorporation (Incorporated by reference herein to Exhibit 3.1 of the Company’s Current Report on</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Form 8-K filed with the Securities and Exchange Commission on September 30, 2024)</w:t>
        </w:r>
      </w:hyperlink>
    </w:p>
    <w:p>
      <w:pPr>
        <w:spacing w:after="0" w:line="162" w:lineRule="exact"/>
        <w:rPr>
          <w:rFonts w:ascii="Times New Roman" w:cs="Times New Roman" w:eastAsia="Times New Roman" w:hAnsi="Times New Roman"/>
          <w:sz w:val="18"/>
          <w:szCs w:val="18"/>
          <w:u w:val="single" w:color="auto"/>
          <w:color w:val="0000EE"/>
        </w:rPr>
      </w:pPr>
    </w:p>
    <w:p>
      <w:pPr>
        <w:ind w:left="760" w:right="54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102">
        <w:r>
          <w:rPr>
            <w:rFonts w:ascii="Times New Roman" w:cs="Times New Roman" w:eastAsia="Times New Roman" w:hAnsi="Times New Roman"/>
            <w:sz w:val="18"/>
            <w:szCs w:val="18"/>
            <w:u w:val="single" w:color="auto"/>
            <w:color w:val="0000EE"/>
          </w:rPr>
          <w:t>2011 Omnibus Securities and Incentive Plan (Incorporated by reference herein to Annex A to the Company’s Schedule 14A filed with the</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Securities and Exchange Commission on May 2, 2011)</w:t>
        </w:r>
      </w:hyperlink>
    </w:p>
    <w:p>
      <w:pPr>
        <w:spacing w:after="0" w:line="162" w:lineRule="exact"/>
        <w:rPr>
          <w:rFonts w:ascii="Times New Roman" w:cs="Times New Roman" w:eastAsia="Times New Roman" w:hAnsi="Times New Roman"/>
          <w:sz w:val="18"/>
          <w:szCs w:val="18"/>
          <w:u w:val="single" w:color="auto"/>
          <w:color w:val="0000EE"/>
        </w:rPr>
      </w:pPr>
    </w:p>
    <w:p>
      <w:pPr>
        <w:ind w:left="76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103">
        <w:r>
          <w:rPr>
            <w:rFonts w:ascii="Times New Roman" w:cs="Times New Roman" w:eastAsia="Times New Roman" w:hAnsi="Times New Roman"/>
            <w:sz w:val="18"/>
            <w:szCs w:val="18"/>
            <w:u w:val="single" w:color="auto"/>
            <w:color w:val="0000EE"/>
          </w:rPr>
          <w:t>ChinaNet Online Holdings, Inc. 2015 Equity Incentive Plan. (Incorporated by reference herein to Annex A to the Company’s Proxy Statement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Schedule 14A filed with the Securities and Exchange Commission on April 30, 2015)</w:t>
        </w:r>
      </w:hyperlink>
    </w:p>
    <w:p>
      <w:pPr>
        <w:spacing w:after="0" w:line="162" w:lineRule="exact"/>
        <w:rPr>
          <w:rFonts w:ascii="Times New Roman" w:cs="Times New Roman" w:eastAsia="Times New Roman" w:hAnsi="Times New Roman"/>
          <w:sz w:val="18"/>
          <w:szCs w:val="18"/>
          <w:u w:val="single" w:color="auto"/>
          <w:color w:val="0000EE"/>
        </w:rPr>
      </w:pPr>
    </w:p>
    <w:p>
      <w:pPr>
        <w:ind w:left="760" w:right="20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u w:val="single" w:color="auto"/>
          <w:color w:val="0000EE"/>
        </w:rPr>
        <w:tab/>
      </w:r>
      <w:hyperlink r:id="rId104">
        <w:r>
          <w:rPr>
            <w:rFonts w:ascii="Times New Roman" w:cs="Times New Roman" w:eastAsia="Times New Roman" w:hAnsi="Times New Roman"/>
            <w:sz w:val="18"/>
            <w:szCs w:val="18"/>
            <w:u w:val="single" w:color="auto"/>
            <w:color w:val="0000EE"/>
          </w:rPr>
          <w:t>Form of Common Stock Purchase Warrant (Incorporated by reference herein to the Exhibit 4.1 of the Company’s Current Report on Form 8-K</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filed with the Securities and Exchange Commission on January 12, 2018)</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4.4</w:t>
      </w:r>
      <w:r>
        <w:rPr>
          <w:sz w:val="20"/>
          <w:szCs w:val="20"/>
          <w:color w:val="auto"/>
        </w:rPr>
        <w:tab/>
      </w:r>
      <w:r>
        <w:rPr>
          <w:rFonts w:ascii="Times New Roman" w:cs="Times New Roman" w:eastAsia="Times New Roman" w:hAnsi="Times New Roman"/>
          <w:sz w:val="18"/>
          <w:szCs w:val="18"/>
          <w:u w:val="single" w:color="auto"/>
          <w:color w:val="0000EE"/>
        </w:rPr>
        <w:t>Description of Securities +</w:t>
      </w:r>
    </w:p>
    <w:p>
      <w:pPr>
        <w:spacing w:after="0" w:line="225" w:lineRule="exact"/>
        <w:rPr>
          <w:rFonts w:ascii="Times New Roman" w:cs="Times New Roman" w:eastAsia="Times New Roman" w:hAnsi="Times New Roman"/>
          <w:sz w:val="18"/>
          <w:szCs w:val="18"/>
          <w:u w:val="single" w:color="auto"/>
          <w:color w:val="0000EE"/>
        </w:rPr>
      </w:pPr>
    </w:p>
    <w:p>
      <w:pPr>
        <w:ind w:left="760" w:right="24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4.5*</w:t>
        </w:r>
      </w:hyperlink>
      <w:r>
        <w:rPr>
          <w:rFonts w:ascii="Times New Roman" w:cs="Times New Roman" w:eastAsia="Times New Roman" w:hAnsi="Times New Roman"/>
          <w:sz w:val="18"/>
          <w:szCs w:val="18"/>
          <w:u w:val="single" w:color="auto"/>
          <w:color w:val="0000EE"/>
        </w:rPr>
        <w:tab/>
      </w:r>
      <w:hyperlink r:id="rId105">
        <w:r>
          <w:rPr>
            <w:rFonts w:ascii="Times New Roman" w:cs="Times New Roman" w:eastAsia="Times New Roman" w:hAnsi="Times New Roman"/>
            <w:sz w:val="18"/>
            <w:szCs w:val="18"/>
            <w:u w:val="single" w:color="auto"/>
            <w:color w:val="0000EE"/>
          </w:rPr>
          <w:t>ChinaNet Online Holdings, Inc. 2020 Omnibus Equity Incentive Plan. (Incorporated by reference herein to the Appendix A of the Company’s</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Definitive Proxy Statement on Schedule 14A filed with the Securities and Exchange Commission on September 2, 2020)</w:t>
        </w:r>
      </w:hyperlink>
    </w:p>
    <w:p>
      <w:pPr>
        <w:spacing w:after="0" w:line="162" w:lineRule="exact"/>
        <w:rPr>
          <w:rFonts w:ascii="Times New Roman" w:cs="Times New Roman" w:eastAsia="Times New Roman" w:hAnsi="Times New Roman"/>
          <w:sz w:val="18"/>
          <w:szCs w:val="18"/>
          <w:u w:val="single" w:color="auto"/>
          <w:color w:val="0000EE"/>
        </w:rPr>
      </w:pPr>
    </w:p>
    <w:p>
      <w:pPr>
        <w:ind w:left="760" w:right="20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4.6</w:t>
        </w:r>
      </w:hyperlink>
      <w:r>
        <w:rPr>
          <w:rFonts w:ascii="Times New Roman" w:cs="Times New Roman" w:eastAsia="Times New Roman" w:hAnsi="Times New Roman"/>
          <w:sz w:val="18"/>
          <w:szCs w:val="18"/>
          <w:u w:val="single" w:color="auto"/>
          <w:color w:val="0000EE"/>
        </w:rPr>
        <w:tab/>
      </w:r>
      <w:hyperlink r:id="rId106">
        <w:r>
          <w:rPr>
            <w:rFonts w:ascii="Times New Roman" w:cs="Times New Roman" w:eastAsia="Times New Roman" w:hAnsi="Times New Roman"/>
            <w:sz w:val="18"/>
            <w:szCs w:val="18"/>
            <w:u w:val="single" w:color="auto"/>
            <w:color w:val="0000EE"/>
          </w:rPr>
          <w:t>Form of Common Stock Purchase Warrant (Incorporated by reference herein to the Exhibit 4.1 of the Company’s Current Report on Form 8-K</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filed with the Securities and Exchange Commission on December 11, 2020)</w:t>
        </w:r>
      </w:hyperlink>
    </w:p>
    <w:p>
      <w:pPr>
        <w:spacing w:after="0" w:line="162"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933" w:gutter="0" w:footer="0" w:header="0"/>
        </w:sectPr>
      </w:pPr>
    </w:p>
    <w:bookmarkStart w:id="88" w:name="page89"/>
    <w:bookmarkEnd w:id="88"/>
    <w:p>
      <w:pPr>
        <w:ind w:left="780" w:right="160" w:hanging="795"/>
        <w:spacing w:after="0" w:line="282" w:lineRule="auto"/>
        <w:tabs>
          <w:tab w:leader="none" w:pos="760" w:val="left"/>
        </w:tabs>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4.7</w:t>
        </w:r>
      </w:hyperlink>
      <w:r>
        <w:rPr>
          <w:rFonts w:ascii="Times New Roman" w:cs="Times New Roman" w:eastAsia="Times New Roman" w:hAnsi="Times New Roman"/>
          <w:sz w:val="18"/>
          <w:szCs w:val="18"/>
          <w:u w:val="single" w:color="auto"/>
          <w:color w:val="0000EE"/>
        </w:rPr>
        <w:tab/>
      </w:r>
      <w:hyperlink r:id="rId108">
        <w:r>
          <w:rPr>
            <w:rFonts w:ascii="Times New Roman" w:cs="Times New Roman" w:eastAsia="Times New Roman" w:hAnsi="Times New Roman"/>
            <w:sz w:val="18"/>
            <w:szCs w:val="18"/>
            <w:u w:val="single" w:color="auto"/>
            <w:color w:val="0000EE"/>
          </w:rPr>
          <w:t>Form of Common Stock Purchase Warrant (Incorporated by reference herein to the Exhibit 4.1 of the Company’s Current Report on Form 8-K</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filed with the Securities and Exchange Commission on February 17, 2021)</w:t>
        </w:r>
      </w:hyperlink>
    </w:p>
    <w:p>
      <w:pPr>
        <w:spacing w:after="0" w:line="162" w:lineRule="exact"/>
        <w:rPr>
          <w:rFonts w:ascii="Times New Roman" w:cs="Times New Roman" w:eastAsia="Times New Roman" w:hAnsi="Times New Roman"/>
          <w:sz w:val="18"/>
          <w:szCs w:val="18"/>
          <w:u w:val="single" w:color="auto"/>
          <w:color w:val="0000EE"/>
        </w:rPr>
      </w:pPr>
    </w:p>
    <w:p>
      <w:pPr>
        <w:ind w:left="780" w:right="720" w:hanging="795"/>
        <w:spacing w:after="0" w:line="282" w:lineRule="auto"/>
        <w:tabs>
          <w:tab w:leader="none" w:pos="760" w:val="left"/>
        </w:tabs>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4.8*</w:t>
        </w:r>
      </w:hyperlink>
      <w:r>
        <w:rPr>
          <w:rFonts w:ascii="Times New Roman" w:cs="Times New Roman" w:eastAsia="Times New Roman" w:hAnsi="Times New Roman"/>
          <w:sz w:val="18"/>
          <w:szCs w:val="18"/>
          <w:u w:val="single" w:color="auto"/>
          <w:color w:val="0000EE"/>
        </w:rPr>
        <w:tab/>
      </w:r>
      <w:hyperlink r:id="rId109">
        <w:r>
          <w:rPr>
            <w:rFonts w:ascii="Times New Roman" w:cs="Times New Roman" w:eastAsia="Times New Roman" w:hAnsi="Times New Roman"/>
            <w:sz w:val="18"/>
            <w:szCs w:val="18"/>
            <w:u w:val="single" w:color="auto"/>
            <w:color w:val="0000EE"/>
          </w:rPr>
          <w:t>ZW Data Action Technologies Inc. 2024 Equity Incentive Plan (Incorporated by reference herein to the Appendix A of the Company’s</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Definitive Proxy Statement on Schedule 14A filed with the Securities and Exchange Commission on October 22, 2024)</w:t>
        </w:r>
      </w:hyperlink>
    </w:p>
    <w:p>
      <w:pPr>
        <w:spacing w:after="0" w:line="162" w:lineRule="exact"/>
        <w:rPr>
          <w:rFonts w:ascii="Times New Roman" w:cs="Times New Roman" w:eastAsia="Times New Roman" w:hAnsi="Times New Roman"/>
          <w:sz w:val="18"/>
          <w:szCs w:val="18"/>
          <w:u w:val="single" w:color="auto"/>
          <w:color w:val="0000EE"/>
        </w:rPr>
      </w:pPr>
    </w:p>
    <w:p>
      <w:pPr>
        <w:ind w:left="780" w:right="720" w:hanging="795"/>
        <w:spacing w:after="0" w:line="282" w:lineRule="auto"/>
        <w:tabs>
          <w:tab w:leader="none" w:pos="760" w:val="left"/>
        </w:tabs>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4.9*</w:t>
        </w:r>
      </w:hyperlink>
      <w:r>
        <w:rPr>
          <w:rFonts w:ascii="Times New Roman" w:cs="Times New Roman" w:eastAsia="Times New Roman" w:hAnsi="Times New Roman"/>
          <w:sz w:val="18"/>
          <w:szCs w:val="18"/>
          <w:u w:val="single" w:color="auto"/>
          <w:color w:val="0000EE"/>
        </w:rPr>
        <w:tab/>
      </w:r>
      <w:hyperlink r:id="rId110">
        <w:r>
          <w:rPr>
            <w:rFonts w:ascii="Times New Roman" w:cs="Times New Roman" w:eastAsia="Times New Roman" w:hAnsi="Times New Roman"/>
            <w:sz w:val="18"/>
            <w:szCs w:val="18"/>
            <w:u w:val="single" w:color="auto"/>
            <w:color w:val="0000EE"/>
          </w:rPr>
          <w:t>ZW Data Action Technologies Inc. 2025 Equity Incentive Plan (Incorporated by reference herein to the Appendix A of the Company’s</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Definitive Proxy Statement on Schedule 14A filed with the Securities and Exchange Commission on October 10, 2025)</w:t>
        </w:r>
      </w:hyperlink>
    </w:p>
    <w:p>
      <w:pPr>
        <w:spacing w:after="0" w:line="162" w:lineRule="exact"/>
        <w:rPr>
          <w:rFonts w:ascii="Times New Roman" w:cs="Times New Roman" w:eastAsia="Times New Roman" w:hAnsi="Times New Roman"/>
          <w:sz w:val="18"/>
          <w:szCs w:val="18"/>
          <w:u w:val="single" w:color="auto"/>
          <w:color w:val="0000EE"/>
        </w:rPr>
      </w:pPr>
    </w:p>
    <w:p>
      <w:pPr>
        <w:ind w:left="78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111">
        <w:r>
          <w:rPr>
            <w:rFonts w:ascii="Times New Roman" w:cs="Times New Roman" w:eastAsia="Times New Roman" w:hAnsi="Times New Roman"/>
            <w:sz w:val="18"/>
            <w:szCs w:val="18"/>
            <w:u w:val="single" w:color="auto"/>
            <w:color w:val="0000EE"/>
          </w:rPr>
          <w:t>Exclusive Business Cooperation Agreement, dated October 8, 2008, by and between Rise King Century Technology Development (Beijing) Co.,</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Ltd. and Beijing CNET Online Advertising Co., Ltd. (Incorporated by reference herein to the Exhibit 10.1 to the Company’s Current Report on</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20" w:hanging="795"/>
        <w:spacing w:after="0" w:line="289" w:lineRule="auto"/>
        <w:tabs>
          <w:tab w:leader="none" w:pos="760" w:val="left"/>
        </w:tabs>
        <w:rPr>
          <w:rFonts w:ascii="Times New Roman" w:cs="Times New Roman" w:eastAsia="Times New Roman" w:hAnsi="Times New Roman"/>
          <w:sz w:val="17"/>
          <w:szCs w:val="17"/>
          <w:u w:val="single" w:color="auto"/>
          <w:color w:val="0000EE"/>
        </w:rPr>
      </w:pPr>
      <w:hyperlink r:id="rId112">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u w:val="single" w:color="auto"/>
          <w:color w:val="0000EE"/>
        </w:rPr>
        <w:tab/>
      </w:r>
      <w:hyperlink r:id="rId112">
        <w:r>
          <w:rPr>
            <w:rFonts w:ascii="Times New Roman" w:cs="Times New Roman" w:eastAsia="Times New Roman" w:hAnsi="Times New Roman"/>
            <w:sz w:val="17"/>
            <w:szCs w:val="17"/>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Beijing CNET Online Advertising Co., Ltd. and Handong Cheng with respect to Mr. Cheng’s equity interest in Beijing CNET Online</w:t>
        </w:r>
      </w:hyperlink>
      <w:r>
        <w:rPr>
          <w:rFonts w:ascii="Times New Roman" w:cs="Times New Roman" w:eastAsia="Times New Roman" w:hAnsi="Times New Roman"/>
          <w:sz w:val="17"/>
          <w:szCs w:val="17"/>
          <w:u w:val="single" w:color="auto"/>
          <w:color w:val="0000EE"/>
        </w:rPr>
        <w:t xml:space="preserve"> </w:t>
      </w:r>
      <w:hyperlink r:id="rId112">
        <w:r>
          <w:rPr>
            <w:rFonts w:ascii="Times New Roman" w:cs="Times New Roman" w:eastAsia="Times New Roman" w:hAnsi="Times New Roman"/>
            <w:sz w:val="17"/>
            <w:szCs w:val="17"/>
            <w:u w:val="single" w:color="auto"/>
            <w:color w:val="0000EE"/>
          </w:rPr>
          <w:t>Advertising Co., Ltd. (Incorporated by reference herein to the Exhibit 10.2 to the Company’s Current Report on Form 8-K filed on July 2, 2009)</w:t>
        </w:r>
      </w:hyperlink>
    </w:p>
    <w:p>
      <w:pPr>
        <w:spacing w:after="0" w:line="158" w:lineRule="exact"/>
        <w:rPr>
          <w:rFonts w:ascii="Times New Roman" w:cs="Times New Roman" w:eastAsia="Times New Roman" w:hAnsi="Times New Roman"/>
          <w:sz w:val="17"/>
          <w:szCs w:val="17"/>
          <w:u w:val="single" w:color="auto"/>
          <w:color w:val="0000EE"/>
        </w:rPr>
      </w:pPr>
    </w:p>
    <w:p>
      <w:pPr>
        <w:ind w:left="780" w:right="14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u w:val="single" w:color="auto"/>
          <w:color w:val="0000EE"/>
        </w:rPr>
        <w:tab/>
      </w:r>
      <w:hyperlink r:id="rId113">
        <w:r>
          <w:rPr>
            <w:rFonts w:ascii="Times New Roman" w:cs="Times New Roman" w:eastAsia="Times New Roman" w:hAnsi="Times New Roman"/>
            <w:sz w:val="18"/>
            <w:szCs w:val="18"/>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Beijing CNET Online Advertising Co., Ltd. and Xuanfu Liu with respect to Mr. Liu’s equity interest in Beijing CNET Online Advertising Co.,</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Ltd. (Incorporated by reference herein to the Exhibit 10.3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10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u w:val="single" w:color="auto"/>
          <w:color w:val="0000EE"/>
        </w:rPr>
        <w:tab/>
      </w:r>
      <w:hyperlink r:id="rId114">
        <w:r>
          <w:rPr>
            <w:rFonts w:ascii="Times New Roman" w:cs="Times New Roman" w:eastAsia="Times New Roman" w:hAnsi="Times New Roman"/>
            <w:sz w:val="18"/>
            <w:szCs w:val="18"/>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Beijing CNET Online Advertising Co., Ltd. and Li Sun with respect to Ms. Sun’s equity interest in Beijing CNET Online Advertising Co., Ltd.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(Incorporated by reference herein to the Exhibit 10.4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20" w:hanging="795"/>
        <w:spacing w:after="0" w:line="289" w:lineRule="auto"/>
        <w:tabs>
          <w:tab w:leader="none" w:pos="760" w:val="left"/>
        </w:tabs>
        <w:rPr>
          <w:rFonts w:ascii="Times New Roman" w:cs="Times New Roman" w:eastAsia="Times New Roman" w:hAnsi="Times New Roman"/>
          <w:sz w:val="17"/>
          <w:szCs w:val="17"/>
          <w:u w:val="single" w:color="auto"/>
          <w:color w:val="0000EE"/>
        </w:rPr>
      </w:pPr>
      <w:hyperlink r:id="rId115">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18"/>
          <w:szCs w:val="18"/>
          <w:u w:val="single" w:color="auto"/>
          <w:color w:val="0000EE"/>
        </w:rPr>
        <w:tab/>
      </w:r>
      <w:hyperlink r:id="rId115">
        <w:r>
          <w:rPr>
            <w:rFonts w:ascii="Times New Roman" w:cs="Times New Roman" w:eastAsia="Times New Roman" w:hAnsi="Times New Roman"/>
            <w:sz w:val="17"/>
            <w:szCs w:val="17"/>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Beijing CNET Online Advertising Co., Ltd. and Handong Cheng with respect to Mr. Cheng’s equity interest in Beijing CNET Online</w:t>
        </w:r>
      </w:hyperlink>
      <w:r>
        <w:rPr>
          <w:rFonts w:ascii="Times New Roman" w:cs="Times New Roman" w:eastAsia="Times New Roman" w:hAnsi="Times New Roman"/>
          <w:sz w:val="17"/>
          <w:szCs w:val="17"/>
          <w:u w:val="single" w:color="auto"/>
          <w:color w:val="0000EE"/>
        </w:rPr>
        <w:t xml:space="preserve"> </w:t>
      </w:r>
      <w:hyperlink r:id="rId115">
        <w:r>
          <w:rPr>
            <w:rFonts w:ascii="Times New Roman" w:cs="Times New Roman" w:eastAsia="Times New Roman" w:hAnsi="Times New Roman"/>
            <w:sz w:val="17"/>
            <w:szCs w:val="17"/>
            <w:u w:val="single" w:color="auto"/>
            <w:color w:val="0000EE"/>
          </w:rPr>
          <w:t>Advertising Co., Ltd. (Incorporated by reference herein to the Exhibit 10.5 to the Company’s Current Report on Form 8-K filed on July 2, 2009)</w:t>
        </w:r>
      </w:hyperlink>
    </w:p>
    <w:p>
      <w:pPr>
        <w:spacing w:after="0" w:line="158" w:lineRule="exact"/>
        <w:rPr>
          <w:rFonts w:ascii="Times New Roman" w:cs="Times New Roman" w:eastAsia="Times New Roman" w:hAnsi="Times New Roman"/>
          <w:sz w:val="17"/>
          <w:szCs w:val="17"/>
          <w:u w:val="single" w:color="auto"/>
          <w:color w:val="0000EE"/>
        </w:rPr>
      </w:pPr>
    </w:p>
    <w:p>
      <w:pPr>
        <w:jc w:val="both"/>
        <w:ind w:left="780" w:right="6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6">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u w:val="single" w:color="auto"/>
          <w:color w:val="0000EE"/>
        </w:rPr>
        <w:tab/>
      </w:r>
      <w:hyperlink r:id="rId116">
        <w:r>
          <w:rPr>
            <w:rFonts w:ascii="Times New Roman" w:cs="Times New Roman" w:eastAsia="Times New Roman" w:hAnsi="Times New Roman"/>
            <w:sz w:val="18"/>
            <w:szCs w:val="18"/>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Beijing CNET Online Advertising Co., Ltd. and Xuanfu Liu with respect to Mr. Liu’s equity interest in Beijing CNET Online Advertising Co.,</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Ltd. (Incorporated by reference herein to the Exhibit 10.6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780" w:right="6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7">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u w:val="single" w:color="auto"/>
          <w:color w:val="0000EE"/>
        </w:rPr>
        <w:tab/>
      </w:r>
      <w:hyperlink r:id="rId117">
        <w:r>
          <w:rPr>
            <w:rFonts w:ascii="Times New Roman" w:cs="Times New Roman" w:eastAsia="Times New Roman" w:hAnsi="Times New Roman"/>
            <w:sz w:val="18"/>
            <w:szCs w:val="18"/>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Beijing CNET Online Advertising Co., Ltd. and Li Sun with respect to Ms. Sun’s equity interest in Beijing CNET Online Advertising Co., Ltd.</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(Incorporated by reference herein to the Exhibit 10.7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780" w:right="4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8">
        <w:r>
          <w:rPr>
            <w:rFonts w:ascii="Times New Roman" w:cs="Times New Roman" w:eastAsia="Times New Roman" w:hAnsi="Times New Roman"/>
            <w:sz w:val="18"/>
            <w:szCs w:val="18"/>
            <w:u w:val="single" w:color="auto"/>
            <w:color w:val="0000EE"/>
          </w:rPr>
          <w:t>10.8</w:t>
        </w:r>
      </w:hyperlink>
      <w:r>
        <w:rPr>
          <w:rFonts w:ascii="Times New Roman" w:cs="Times New Roman" w:eastAsia="Times New Roman" w:hAnsi="Times New Roman"/>
          <w:sz w:val="18"/>
          <w:szCs w:val="18"/>
          <w:u w:val="single" w:color="auto"/>
          <w:color w:val="0000EE"/>
        </w:rPr>
        <w:tab/>
      </w:r>
      <w:hyperlink r:id="rId118">
        <w:r>
          <w:rPr>
            <w:rFonts w:ascii="Times New Roman" w:cs="Times New Roman" w:eastAsia="Times New Roman" w:hAnsi="Times New Roman"/>
            <w:sz w:val="18"/>
            <w:szCs w:val="18"/>
            <w:u w:val="single" w:color="auto"/>
            <w:color w:val="0000EE"/>
          </w:rPr>
          <w:t>Power of Attorney of Handong Cheng, dated as of October 8, 2008, appointing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as his agent and attorney in connection with his equity interest in Beijing CNET Online Advertising Co., Ltd. (Incorporated by reference herein</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to the Exhibit 10.8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10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19">
        <w:r>
          <w:rPr>
            <w:rFonts w:ascii="Times New Roman" w:cs="Times New Roman" w:eastAsia="Times New Roman" w:hAnsi="Times New Roman"/>
            <w:sz w:val="18"/>
            <w:szCs w:val="18"/>
            <w:u w:val="single" w:color="auto"/>
            <w:color w:val="0000EE"/>
          </w:rPr>
          <w:t>10.9</w:t>
        </w:r>
      </w:hyperlink>
      <w:r>
        <w:rPr>
          <w:rFonts w:ascii="Times New Roman" w:cs="Times New Roman" w:eastAsia="Times New Roman" w:hAnsi="Times New Roman"/>
          <w:sz w:val="18"/>
          <w:szCs w:val="18"/>
          <w:u w:val="single" w:color="auto"/>
          <w:color w:val="0000EE"/>
        </w:rPr>
        <w:tab/>
      </w:r>
      <w:hyperlink r:id="rId119">
        <w:r>
          <w:rPr>
            <w:rFonts w:ascii="Times New Roman" w:cs="Times New Roman" w:eastAsia="Times New Roman" w:hAnsi="Times New Roman"/>
            <w:sz w:val="18"/>
            <w:szCs w:val="18"/>
            <w:u w:val="single" w:color="auto"/>
            <w:color w:val="0000EE"/>
          </w:rPr>
          <w:t>Power of Attorney of Xuanfu Liu, dated as of October 8, 2008, appointing Rise King Century Technology Development (Beijing) Co., Ltd. as</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his agent and attorney in connection with his equity interest in Beijing CNET Online Advertising Co., Ltd. (Incorporated by reference herein to</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the Exhibit 10.9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6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20">
        <w:r>
          <w:rPr>
            <w:rFonts w:ascii="Times New Roman" w:cs="Times New Roman" w:eastAsia="Times New Roman" w:hAnsi="Times New Roman"/>
            <w:sz w:val="18"/>
            <w:szCs w:val="18"/>
            <w:u w:val="single" w:color="auto"/>
            <w:color w:val="0000EE"/>
          </w:rPr>
          <w:t>10.10</w:t>
        </w:r>
      </w:hyperlink>
      <w:r>
        <w:rPr>
          <w:rFonts w:ascii="Times New Roman" w:cs="Times New Roman" w:eastAsia="Times New Roman" w:hAnsi="Times New Roman"/>
          <w:sz w:val="18"/>
          <w:szCs w:val="18"/>
          <w:u w:val="single" w:color="auto"/>
          <w:color w:val="0000EE"/>
        </w:rPr>
        <w:tab/>
      </w:r>
      <w:hyperlink r:id="rId120">
        <w:r>
          <w:rPr>
            <w:rFonts w:ascii="Times New Roman" w:cs="Times New Roman" w:eastAsia="Times New Roman" w:hAnsi="Times New Roman"/>
            <w:sz w:val="18"/>
            <w:szCs w:val="18"/>
            <w:u w:val="single" w:color="auto"/>
            <w:color w:val="0000EE"/>
          </w:rPr>
          <w:t>Power of Attorney of Li Sun, dated as of October 8, 2008, appointing Rise King Century Technology Development (Beijing) Co., Ltd. as her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agent and attorney in connection with her equity interest in Beijing CNET Online Advertising Co., Ltd. (Incorporated by reference herein to the</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Exhibit 10.10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hanging="795"/>
        <w:spacing w:after="0" w:line="266" w:lineRule="auto"/>
        <w:tabs>
          <w:tab w:leader="none" w:pos="760" w:val="left"/>
        </w:tabs>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10.11</w:t>
        </w:r>
      </w:hyperlink>
      <w:r>
        <w:rPr>
          <w:rFonts w:ascii="Times New Roman" w:cs="Times New Roman" w:eastAsia="Times New Roman" w:hAnsi="Times New Roman"/>
          <w:sz w:val="18"/>
          <w:szCs w:val="18"/>
          <w:u w:val="single" w:color="auto"/>
          <w:color w:val="0000EE"/>
        </w:rPr>
        <w:tab/>
      </w:r>
      <w:hyperlink r:id="rId121">
        <w:r>
          <w:rPr>
            <w:rFonts w:ascii="Times New Roman" w:cs="Times New Roman" w:eastAsia="Times New Roman" w:hAnsi="Times New Roman"/>
            <w:sz w:val="18"/>
            <w:szCs w:val="18"/>
            <w:u w:val="single" w:color="auto"/>
            <w:color w:val="0000EE"/>
          </w:rPr>
          <w:t>Exclusive Business Cooperation Agreement, dated October 8, 2008, by and between Rise King Century Technology Development (Beijing) Co.,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Ltd. and Business Opportunity Online (Beijing) Network Technology Co., Ltd. (Incorporated by reference herein to the Exhibit 10.11 to the</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80" w:right="120" w:hanging="795"/>
        <w:spacing w:after="0" w:line="261" w:lineRule="auto"/>
        <w:tabs>
          <w:tab w:leader="none" w:pos="760" w:val="left"/>
        </w:tabs>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10.12</w:t>
        </w:r>
      </w:hyperlink>
      <w:r>
        <w:rPr>
          <w:rFonts w:ascii="Times New Roman" w:cs="Times New Roman" w:eastAsia="Times New Roman" w:hAnsi="Times New Roman"/>
          <w:sz w:val="18"/>
          <w:szCs w:val="18"/>
          <w:u w:val="single" w:color="auto"/>
          <w:color w:val="0000EE"/>
        </w:rPr>
        <w:tab/>
      </w:r>
      <w:hyperlink r:id="rId122">
        <w:r>
          <w:rPr>
            <w:rFonts w:ascii="Times New Roman" w:cs="Times New Roman" w:eastAsia="Times New Roman" w:hAnsi="Times New Roman"/>
            <w:sz w:val="18"/>
            <w:szCs w:val="18"/>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Business Opportunity Online (Beijing) Network Technology Co., Ltd. and Handong Cheng with respect to Mr. Cheng’s equity interest in</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Business Opportunity Online (Beijing) Network Technology Co., Ltd. (Incorporated by reference herein to the Exhibit 10.12 to the Company’s</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Current Report on Form 8-K filed on July 2, 2009)</w:t>
        </w:r>
      </w:hyperlink>
    </w:p>
    <w:p>
      <w:pPr>
        <w:spacing w:after="0" w:line="180"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80" w:right="359" w:bottom="1440" w:gutter="0" w:footer="0" w:header="0"/>
        </w:sectPr>
      </w:pPr>
    </w:p>
    <w:bookmarkStart w:id="89" w:name="page90"/>
    <w:bookmarkEnd w:id="89"/>
    <w:p>
      <w:pPr>
        <w:ind w:left="720" w:right="180" w:hanging="795"/>
        <w:spacing w:after="0" w:line="261" w:lineRule="auto"/>
        <w:tabs>
          <w:tab w:leader="none" w:pos="700" w:val="left"/>
        </w:tabs>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10.13</w:t>
        </w:r>
      </w:hyperlink>
      <w:r>
        <w:rPr>
          <w:rFonts w:ascii="Times New Roman" w:cs="Times New Roman" w:eastAsia="Times New Roman" w:hAnsi="Times New Roman"/>
          <w:sz w:val="18"/>
          <w:szCs w:val="18"/>
          <w:u w:val="single" w:color="auto"/>
          <w:color w:val="0000EE"/>
        </w:rPr>
        <w:tab/>
      </w:r>
      <w:hyperlink r:id="rId124">
        <w:r>
          <w:rPr>
            <w:rFonts w:ascii="Times New Roman" w:cs="Times New Roman" w:eastAsia="Times New Roman" w:hAnsi="Times New Roman"/>
            <w:sz w:val="18"/>
            <w:szCs w:val="18"/>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Business Opportunity Online (Beijing) Network Technology Co., Ltd. and Xuanfu Liu with respect to Mr. Liu’s equity interest in Business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Opportunity Online (Beijing) Network Technology Co., Ltd. (Incorporated by reference herein to the Exhibit 10.13 to the Company’s Current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Report on Form 8-K filed on July 2, 2009)</w:t>
        </w:r>
      </w:hyperlink>
    </w:p>
    <w:p>
      <w:pPr>
        <w:spacing w:after="0" w:line="180" w:lineRule="exact"/>
        <w:rPr>
          <w:rFonts w:ascii="Times New Roman" w:cs="Times New Roman" w:eastAsia="Times New Roman" w:hAnsi="Times New Roman"/>
          <w:sz w:val="18"/>
          <w:szCs w:val="18"/>
          <w:u w:val="single" w:color="auto"/>
          <w:color w:val="0000EE"/>
        </w:rPr>
      </w:pPr>
    </w:p>
    <w:p>
      <w:pPr>
        <w:ind w:left="720" w:right="180" w:hanging="795"/>
        <w:spacing w:after="0" w:line="261" w:lineRule="auto"/>
        <w:tabs>
          <w:tab w:leader="none" w:pos="700" w:val="left"/>
        </w:tabs>
        <w:rPr>
          <w:rFonts w:ascii="Times New Roman" w:cs="Times New Roman" w:eastAsia="Times New Roman" w:hAnsi="Times New Roman"/>
          <w:sz w:val="18"/>
          <w:szCs w:val="18"/>
          <w:u w:val="single" w:color="auto"/>
          <w:color w:val="0000EE"/>
        </w:rPr>
      </w:pPr>
      <w:hyperlink r:id="rId125">
        <w:r>
          <w:rPr>
            <w:rFonts w:ascii="Times New Roman" w:cs="Times New Roman" w:eastAsia="Times New Roman" w:hAnsi="Times New Roman"/>
            <w:sz w:val="18"/>
            <w:szCs w:val="18"/>
            <w:u w:val="single" w:color="auto"/>
            <w:color w:val="0000EE"/>
          </w:rPr>
          <w:t>10.14</w:t>
        </w:r>
      </w:hyperlink>
      <w:r>
        <w:rPr>
          <w:rFonts w:ascii="Times New Roman" w:cs="Times New Roman" w:eastAsia="Times New Roman" w:hAnsi="Times New Roman"/>
          <w:sz w:val="18"/>
          <w:szCs w:val="18"/>
          <w:u w:val="single" w:color="auto"/>
          <w:color w:val="0000EE"/>
        </w:rPr>
        <w:tab/>
      </w:r>
      <w:hyperlink r:id="rId125">
        <w:r>
          <w:rPr>
            <w:rFonts w:ascii="Times New Roman" w:cs="Times New Roman" w:eastAsia="Times New Roman" w:hAnsi="Times New Roman"/>
            <w:sz w:val="18"/>
            <w:szCs w:val="18"/>
            <w:u w:val="single" w:color="auto"/>
            <w:color w:val="0000EE"/>
          </w:rPr>
          <w:t>Exclusive Option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Business Opportunity Online (Beijing) Network Technology Co., Ltd. and Li Sun with respect to Ms. Sun’s equity interest in Business</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Opportunity Online (Beijing) Network Technology Co., Ltd. (Incorporated by reference herein to the Exhibit 10.14 to the Company’s Current</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Report on Form 8-K filed on July 2, 2009)</w:t>
        </w:r>
      </w:hyperlink>
    </w:p>
    <w:p>
      <w:pPr>
        <w:spacing w:after="0" w:line="180" w:lineRule="exact"/>
        <w:rPr>
          <w:rFonts w:ascii="Times New Roman" w:cs="Times New Roman" w:eastAsia="Times New Roman" w:hAnsi="Times New Roman"/>
          <w:sz w:val="18"/>
          <w:szCs w:val="18"/>
          <w:u w:val="single" w:color="auto"/>
          <w:color w:val="0000EE"/>
        </w:rPr>
      </w:pPr>
    </w:p>
    <w:p>
      <w:pPr>
        <w:ind w:left="720" w:right="20" w:hanging="795"/>
        <w:spacing w:after="0" w:line="261" w:lineRule="auto"/>
        <w:tabs>
          <w:tab w:leader="none" w:pos="700" w:val="left"/>
        </w:tabs>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10.15</w:t>
        </w:r>
      </w:hyperlink>
      <w:r>
        <w:rPr>
          <w:rFonts w:ascii="Times New Roman" w:cs="Times New Roman" w:eastAsia="Times New Roman" w:hAnsi="Times New Roman"/>
          <w:sz w:val="18"/>
          <w:szCs w:val="18"/>
          <w:u w:val="single" w:color="auto"/>
          <w:color w:val="0000EE"/>
        </w:rPr>
        <w:tab/>
      </w:r>
      <w:hyperlink r:id="rId126">
        <w:r>
          <w:rPr>
            <w:rFonts w:ascii="Times New Roman" w:cs="Times New Roman" w:eastAsia="Times New Roman" w:hAnsi="Times New Roman"/>
            <w:sz w:val="18"/>
            <w:szCs w:val="18"/>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Business Opportunity Online (Beijing) Network Technology Co., Ltd. and Handong Cheng with respect to Mr. Cheng’s equity interest in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Business Opportunity Online (Beijing) Network Technology Co., Ltd. (Incorporated by reference herein to the Exhibit 10.15 to the Company’s</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Current Report on Form 8-K filed on July 2, 2009)</w:t>
        </w:r>
      </w:hyperlink>
    </w:p>
    <w:p>
      <w:pPr>
        <w:spacing w:after="0" w:line="180" w:lineRule="exact"/>
        <w:rPr>
          <w:rFonts w:ascii="Times New Roman" w:cs="Times New Roman" w:eastAsia="Times New Roman" w:hAnsi="Times New Roman"/>
          <w:sz w:val="18"/>
          <w:szCs w:val="18"/>
          <w:u w:val="single" w:color="auto"/>
          <w:color w:val="0000EE"/>
        </w:rPr>
      </w:pPr>
    </w:p>
    <w:p>
      <w:pPr>
        <w:ind w:left="720" w:right="20" w:hanging="795"/>
        <w:spacing w:after="0" w:line="261" w:lineRule="auto"/>
        <w:tabs>
          <w:tab w:leader="none" w:pos="700" w:val="left"/>
        </w:tabs>
        <w:rPr>
          <w:rFonts w:ascii="Times New Roman" w:cs="Times New Roman" w:eastAsia="Times New Roman" w:hAnsi="Times New Roman"/>
          <w:sz w:val="18"/>
          <w:szCs w:val="18"/>
          <w:u w:val="single" w:color="auto"/>
          <w:color w:val="0000EE"/>
        </w:rPr>
      </w:pPr>
      <w:hyperlink r:id="rId127">
        <w:r>
          <w:rPr>
            <w:rFonts w:ascii="Times New Roman" w:cs="Times New Roman" w:eastAsia="Times New Roman" w:hAnsi="Times New Roman"/>
            <w:sz w:val="18"/>
            <w:szCs w:val="18"/>
            <w:u w:val="single" w:color="auto"/>
            <w:color w:val="0000EE"/>
          </w:rPr>
          <w:t>10.16</w:t>
        </w:r>
      </w:hyperlink>
      <w:r>
        <w:rPr>
          <w:rFonts w:ascii="Times New Roman" w:cs="Times New Roman" w:eastAsia="Times New Roman" w:hAnsi="Times New Roman"/>
          <w:sz w:val="18"/>
          <w:szCs w:val="18"/>
          <w:u w:val="single" w:color="auto"/>
          <w:color w:val="0000EE"/>
        </w:rPr>
        <w:tab/>
      </w:r>
      <w:hyperlink r:id="rId127">
        <w:r>
          <w:rPr>
            <w:rFonts w:ascii="Times New Roman" w:cs="Times New Roman" w:eastAsia="Times New Roman" w:hAnsi="Times New Roman"/>
            <w:sz w:val="18"/>
            <w:szCs w:val="18"/>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Business Opportunity Online (Beijing) Network Technology Co., Ltd. and Xuanfu Liu with respect to Mr. Liu’s equity interest in Business</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Opportunity Online (Beijing) Network Technology Co., Ltd. (Incorporated by reference herein to the Exhibit 10.16 to the Company’s Current</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Report on Form 8-K filed on July 2, 2009)</w:t>
        </w:r>
      </w:hyperlink>
    </w:p>
    <w:p>
      <w:pPr>
        <w:spacing w:after="0" w:line="180" w:lineRule="exact"/>
        <w:rPr>
          <w:rFonts w:ascii="Times New Roman" w:cs="Times New Roman" w:eastAsia="Times New Roman" w:hAnsi="Times New Roman"/>
          <w:sz w:val="18"/>
          <w:szCs w:val="18"/>
          <w:u w:val="single" w:color="auto"/>
          <w:color w:val="0000EE"/>
        </w:rPr>
      </w:pPr>
    </w:p>
    <w:p>
      <w:pPr>
        <w:ind w:left="720" w:right="20" w:hanging="795"/>
        <w:spacing w:after="0" w:line="261" w:lineRule="auto"/>
        <w:tabs>
          <w:tab w:leader="none" w:pos="700" w:val="left"/>
        </w:tabs>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10.17</w:t>
        </w:r>
      </w:hyperlink>
      <w:r>
        <w:rPr>
          <w:rFonts w:ascii="Times New Roman" w:cs="Times New Roman" w:eastAsia="Times New Roman" w:hAnsi="Times New Roman"/>
          <w:sz w:val="18"/>
          <w:szCs w:val="18"/>
          <w:u w:val="single" w:color="auto"/>
          <w:color w:val="0000EE"/>
        </w:rPr>
        <w:tab/>
      </w:r>
      <w:hyperlink r:id="rId128">
        <w:r>
          <w:rPr>
            <w:rFonts w:ascii="Times New Roman" w:cs="Times New Roman" w:eastAsia="Times New Roman" w:hAnsi="Times New Roman"/>
            <w:sz w:val="18"/>
            <w:szCs w:val="18"/>
            <w:u w:val="single" w:color="auto"/>
            <w:color w:val="0000EE"/>
          </w:rPr>
          <w:t>Equity Interest Pledge Agreement, dated as of October 8, 2008, by and among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Business Opportunity Online (Beijing) Network Technology Co., Ltd. and Li Sun with respect to Ms. Sun’s equity interest in Business</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Opportunity Online (Beijing) Network Technology Co., Ltd. (Incorporated by reference herein to the Exhibit 10.17 to the Company’s Current</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Report on Form 8-K filed on July 2, 20091)</w:t>
        </w:r>
      </w:hyperlink>
    </w:p>
    <w:p>
      <w:pPr>
        <w:spacing w:after="0" w:line="180" w:lineRule="exact"/>
        <w:rPr>
          <w:rFonts w:ascii="Times New Roman" w:cs="Times New Roman" w:eastAsia="Times New Roman" w:hAnsi="Times New Roman"/>
          <w:sz w:val="18"/>
          <w:szCs w:val="18"/>
          <w:u w:val="single" w:color="auto"/>
          <w:color w:val="0000EE"/>
        </w:rPr>
      </w:pPr>
    </w:p>
    <w:p>
      <w:pPr>
        <w:ind w:left="72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10.18</w:t>
        </w:r>
      </w:hyperlink>
      <w:r>
        <w:rPr>
          <w:rFonts w:ascii="Times New Roman" w:cs="Times New Roman" w:eastAsia="Times New Roman" w:hAnsi="Times New Roman"/>
          <w:sz w:val="18"/>
          <w:szCs w:val="18"/>
          <w:u w:val="single" w:color="auto"/>
          <w:color w:val="0000EE"/>
        </w:rPr>
        <w:tab/>
      </w:r>
      <w:hyperlink r:id="rId129">
        <w:r>
          <w:rPr>
            <w:rFonts w:ascii="Times New Roman" w:cs="Times New Roman" w:eastAsia="Times New Roman" w:hAnsi="Times New Roman"/>
            <w:sz w:val="18"/>
            <w:szCs w:val="18"/>
            <w:u w:val="single" w:color="auto"/>
            <w:color w:val="0000EE"/>
          </w:rPr>
          <w:t>Power of Attorney of Handong Cheng, dated as of October 8, 2008, appointing Rise King Century Technology Development (Beijing) Co., Ltd.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as his agent and attorney in connection with his equity interest in Business Opportunity Online (Beijing) Network Technology Co., Ltd.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(Incorporated by reference herein to the Exhibit 10.18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14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0">
        <w:r>
          <w:rPr>
            <w:rFonts w:ascii="Times New Roman" w:cs="Times New Roman" w:eastAsia="Times New Roman" w:hAnsi="Times New Roman"/>
            <w:sz w:val="18"/>
            <w:szCs w:val="18"/>
            <w:u w:val="single" w:color="auto"/>
            <w:color w:val="0000EE"/>
          </w:rPr>
          <w:t>10.19</w:t>
        </w:r>
      </w:hyperlink>
      <w:r>
        <w:rPr>
          <w:rFonts w:ascii="Times New Roman" w:cs="Times New Roman" w:eastAsia="Times New Roman" w:hAnsi="Times New Roman"/>
          <w:sz w:val="18"/>
          <w:szCs w:val="18"/>
          <w:u w:val="single" w:color="auto"/>
          <w:color w:val="0000EE"/>
        </w:rPr>
        <w:tab/>
      </w:r>
      <w:hyperlink r:id="rId130">
        <w:r>
          <w:rPr>
            <w:rFonts w:ascii="Times New Roman" w:cs="Times New Roman" w:eastAsia="Times New Roman" w:hAnsi="Times New Roman"/>
            <w:sz w:val="18"/>
            <w:szCs w:val="18"/>
            <w:u w:val="single" w:color="auto"/>
            <w:color w:val="0000EE"/>
          </w:rPr>
          <w:t>Power of Attorney of Xuanfu Liu, dated as of October 8, 2008, appointing Rise King Century Technology Development (Beijing) Co., Ltd. as</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his agent and attorney in connection with his equity interest in Business Opportunity Online (Beijing) Network Technology Co., Ltd.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(Incorporated by reference herein to the Exhibit 10.19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2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1">
        <w:r>
          <w:rPr>
            <w:rFonts w:ascii="Times New Roman" w:cs="Times New Roman" w:eastAsia="Times New Roman" w:hAnsi="Times New Roman"/>
            <w:sz w:val="18"/>
            <w:szCs w:val="18"/>
            <w:u w:val="single" w:color="auto"/>
            <w:color w:val="0000EE"/>
          </w:rPr>
          <w:t>10.20</w:t>
        </w:r>
      </w:hyperlink>
      <w:r>
        <w:rPr>
          <w:rFonts w:ascii="Times New Roman" w:cs="Times New Roman" w:eastAsia="Times New Roman" w:hAnsi="Times New Roman"/>
          <w:sz w:val="18"/>
          <w:szCs w:val="18"/>
          <w:u w:val="single" w:color="auto"/>
          <w:color w:val="0000EE"/>
        </w:rPr>
        <w:tab/>
      </w:r>
      <w:hyperlink r:id="rId131">
        <w:r>
          <w:rPr>
            <w:rFonts w:ascii="Times New Roman" w:cs="Times New Roman" w:eastAsia="Times New Roman" w:hAnsi="Times New Roman"/>
            <w:sz w:val="18"/>
            <w:szCs w:val="18"/>
            <w:u w:val="single" w:color="auto"/>
            <w:color w:val="0000EE"/>
          </w:rPr>
          <w:t>Power of Attorney of Li Sun, dated as of October 8, 2008, appointing Rise King Century Technology Development (Beijing) Co., Ltd. as her</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agent and attorney in connection with her equity interest in Business Opportunity Online (Beijing) Network Technology Co., Ltd. (Incorporated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by reference herein to the Exhibit 10.20 to the Company’s Current Report on Form 8-K filed on July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220" w:hanging="795"/>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u w:val="single" w:color="auto"/>
          <w:color w:val="0000EE"/>
        </w:rPr>
        <w:tab/>
      </w:r>
      <w:hyperlink r:id="rId132">
        <w:r>
          <w:rPr>
            <w:rFonts w:ascii="Times New Roman" w:cs="Times New Roman" w:eastAsia="Times New Roman" w:hAnsi="Times New Roman"/>
            <w:sz w:val="18"/>
            <w:szCs w:val="18"/>
            <w:u w:val="single" w:color="auto"/>
            <w:color w:val="0000EE"/>
          </w:rPr>
          <w:t>Securities Purchase Agreement, dated as of August 21, 2009. (Incorporated by reference herein to the Exhibit 10.1 of the Company’s Current</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Report on Form 8-K filed with the Securities and Exchange Commission on August 27, 2009)</w:t>
        </w:r>
      </w:hyperlink>
    </w:p>
    <w:p>
      <w:pPr>
        <w:spacing w:after="0" w:line="162" w:lineRule="exact"/>
        <w:rPr>
          <w:rFonts w:ascii="Times New Roman" w:cs="Times New Roman" w:eastAsia="Times New Roman" w:hAnsi="Times New Roman"/>
          <w:sz w:val="18"/>
          <w:szCs w:val="18"/>
          <w:u w:val="single" w:color="auto"/>
          <w:color w:val="0000EE"/>
        </w:rPr>
      </w:pPr>
    </w:p>
    <w:p>
      <w:pPr>
        <w:ind w:left="720" w:right="280" w:hanging="795"/>
        <w:spacing w:after="0" w:line="282" w:lineRule="auto"/>
        <w:tabs>
          <w:tab w:leader="none" w:pos="700" w:val="left"/>
        </w:tabs>
        <w:rPr>
          <w:rFonts w:ascii="Times New Roman" w:cs="Times New Roman" w:eastAsia="Times New Roman" w:hAnsi="Times New Roman"/>
          <w:sz w:val="18"/>
          <w:szCs w:val="18"/>
          <w:u w:val="single" w:color="auto"/>
          <w:color w:val="0000EE"/>
        </w:rPr>
      </w:pPr>
      <w:hyperlink r:id="rId133">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u w:val="single" w:color="auto"/>
          <w:color w:val="0000EE"/>
        </w:rPr>
        <w:tab/>
      </w:r>
      <w:hyperlink r:id="rId133">
        <w:r>
          <w:rPr>
            <w:rFonts w:ascii="Times New Roman" w:cs="Times New Roman" w:eastAsia="Times New Roman" w:hAnsi="Times New Roman"/>
            <w:sz w:val="18"/>
            <w:szCs w:val="18"/>
            <w:u w:val="single" w:color="auto"/>
            <w:color w:val="0000EE"/>
          </w:rPr>
          <w:t>Securities Escrow Agreement, dated as of August 21, 2009. (Incorporated by reference herein to the Exhibit 10.2 of the Company’s Current</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Report on Form 8-K filed with the Securities and Exchange Commission on August 27, 2009)</w:t>
        </w:r>
      </w:hyperlink>
    </w:p>
    <w:p>
      <w:pPr>
        <w:spacing w:after="0" w:line="162" w:lineRule="exact"/>
        <w:rPr>
          <w:rFonts w:ascii="Times New Roman" w:cs="Times New Roman" w:eastAsia="Times New Roman" w:hAnsi="Times New Roman"/>
          <w:sz w:val="18"/>
          <w:szCs w:val="18"/>
          <w:u w:val="single" w:color="auto"/>
          <w:color w:val="0000EE"/>
        </w:rPr>
      </w:pPr>
    </w:p>
    <w:p>
      <w:pPr>
        <w:ind w:left="720" w:right="20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4">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u w:val="single" w:color="auto"/>
          <w:color w:val="0000EE"/>
        </w:rPr>
        <w:tab/>
      </w:r>
      <w:hyperlink r:id="rId134">
        <w:r>
          <w:rPr>
            <w:rFonts w:ascii="Times New Roman" w:cs="Times New Roman" w:eastAsia="Times New Roman" w:hAnsi="Times New Roman"/>
            <w:sz w:val="18"/>
            <w:szCs w:val="18"/>
            <w:u w:val="single" w:color="auto"/>
            <w:color w:val="0000EE"/>
          </w:rPr>
          <w:t>Independent Director Agreement effective as of November 30, 2009 by and between the Company and Douglas MacLellan. (Incorporated by</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reference herein to the Exhibit 99.1 of the Company’s Current Report on Form 8-K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December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20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10.24*</w:t>
        </w:r>
      </w:hyperlink>
      <w:r>
        <w:rPr>
          <w:rFonts w:ascii="Times New Roman" w:cs="Times New Roman" w:eastAsia="Times New Roman" w:hAnsi="Times New Roman"/>
          <w:sz w:val="18"/>
          <w:szCs w:val="18"/>
          <w:u w:val="single" w:color="auto"/>
          <w:color w:val="0000EE"/>
        </w:rPr>
        <w:tab/>
      </w:r>
      <w:hyperlink r:id="rId135">
        <w:r>
          <w:rPr>
            <w:rFonts w:ascii="Times New Roman" w:cs="Times New Roman" w:eastAsia="Times New Roman" w:hAnsi="Times New Roman"/>
            <w:sz w:val="18"/>
            <w:szCs w:val="18"/>
            <w:u w:val="single" w:color="auto"/>
            <w:color w:val="0000EE"/>
          </w:rPr>
          <w:t>Independent Director Agreement effective as of November 30, 2009 by and between the Company and Mototaka Watanabe. (Incorporated by</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reference herein to the Exhibit 99.2 of the Company’s Current Report on Form 8-K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December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40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6">
        <w:r>
          <w:rPr>
            <w:rFonts w:ascii="Times New Roman" w:cs="Times New Roman" w:eastAsia="Times New Roman" w:hAnsi="Times New Roman"/>
            <w:sz w:val="18"/>
            <w:szCs w:val="18"/>
            <w:u w:val="single" w:color="auto"/>
            <w:color w:val="0000EE"/>
          </w:rPr>
          <w:t>10.25*</w:t>
        </w:r>
      </w:hyperlink>
      <w:r>
        <w:rPr>
          <w:rFonts w:ascii="Times New Roman" w:cs="Times New Roman" w:eastAsia="Times New Roman" w:hAnsi="Times New Roman"/>
          <w:sz w:val="18"/>
          <w:szCs w:val="18"/>
          <w:u w:val="single" w:color="auto"/>
          <w:color w:val="0000EE"/>
        </w:rPr>
        <w:tab/>
      </w:r>
      <w:hyperlink r:id="rId136">
        <w:r>
          <w:rPr>
            <w:rFonts w:ascii="Times New Roman" w:cs="Times New Roman" w:eastAsia="Times New Roman" w:hAnsi="Times New Roman"/>
            <w:sz w:val="18"/>
            <w:szCs w:val="18"/>
            <w:u w:val="single" w:color="auto"/>
            <w:color w:val="0000EE"/>
          </w:rPr>
          <w:t>Independent Director Agreement effective as of November 30, 2009 by and between the Company and Zhiqing Chen. (Incorporated by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reference herein to the Exhibit 99.2 of the Company’s Current Report on Form 8-K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December 2, 2009)</w:t>
        </w:r>
      </w:hyperlink>
    </w:p>
    <w:p>
      <w:pPr>
        <w:spacing w:after="0" w:line="176" w:lineRule="exact"/>
        <w:rPr>
          <w:rFonts w:ascii="Times New Roman" w:cs="Times New Roman" w:eastAsia="Times New Roman" w:hAnsi="Times New Roman"/>
          <w:sz w:val="18"/>
          <w:szCs w:val="18"/>
          <w:u w:val="single" w:color="auto"/>
          <w:color w:val="0000EE"/>
        </w:rPr>
      </w:pPr>
    </w:p>
    <w:p>
      <w:pPr>
        <w:ind w:left="720" w:right="24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10.26</w:t>
        </w:r>
      </w:hyperlink>
      <w:r>
        <w:rPr>
          <w:rFonts w:ascii="Times New Roman" w:cs="Times New Roman" w:eastAsia="Times New Roman" w:hAnsi="Times New Roman"/>
          <w:sz w:val="18"/>
          <w:szCs w:val="18"/>
          <w:u w:val="single" w:color="auto"/>
          <w:color w:val="0000EE"/>
        </w:rPr>
        <w:tab/>
      </w:r>
      <w:hyperlink r:id="rId137">
        <w:r>
          <w:rPr>
            <w:rFonts w:ascii="Times New Roman" w:cs="Times New Roman" w:eastAsia="Times New Roman" w:hAnsi="Times New Roman"/>
            <w:sz w:val="18"/>
            <w:szCs w:val="18"/>
            <w:u w:val="single" w:color="auto"/>
            <w:color w:val="0000EE"/>
          </w:rPr>
          <w:t>Letter Agreement, dated January 8, 2018, between ChinaNet Online Holdings, Inc. and FT Global Capital, Inc. (Incorporated by reference</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herein to the Exhibit 10.1 of the Company’s Current Report on Form 8-K filed with the Securities and Exchange Commission on January 12,</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720" w:right="320" w:hanging="795"/>
        <w:spacing w:after="0" w:line="266" w:lineRule="auto"/>
        <w:tabs>
          <w:tab w:leader="none" w:pos="700" w:val="left"/>
        </w:tabs>
        <w:rPr>
          <w:rFonts w:ascii="Times New Roman" w:cs="Times New Roman" w:eastAsia="Times New Roman" w:hAnsi="Times New Roman"/>
          <w:sz w:val="18"/>
          <w:szCs w:val="18"/>
          <w:u w:val="single" w:color="auto"/>
          <w:color w:val="0000EE"/>
        </w:rPr>
      </w:pPr>
      <w:hyperlink r:id="rId138">
        <w:r>
          <w:rPr>
            <w:rFonts w:ascii="Times New Roman" w:cs="Times New Roman" w:eastAsia="Times New Roman" w:hAnsi="Times New Roman"/>
            <w:sz w:val="18"/>
            <w:szCs w:val="18"/>
            <w:u w:val="single" w:color="auto"/>
            <w:color w:val="0000EE"/>
          </w:rPr>
          <w:t>10.27</w:t>
        </w:r>
      </w:hyperlink>
      <w:r>
        <w:rPr>
          <w:rFonts w:ascii="Times New Roman" w:cs="Times New Roman" w:eastAsia="Times New Roman" w:hAnsi="Times New Roman"/>
          <w:sz w:val="18"/>
          <w:szCs w:val="18"/>
          <w:u w:val="single" w:color="auto"/>
          <w:color w:val="0000EE"/>
        </w:rPr>
        <w:tab/>
      </w:r>
      <w:hyperlink r:id="rId138">
        <w:r>
          <w:rPr>
            <w:rFonts w:ascii="Times New Roman" w:cs="Times New Roman" w:eastAsia="Times New Roman" w:hAnsi="Times New Roman"/>
            <w:sz w:val="18"/>
            <w:szCs w:val="18"/>
            <w:u w:val="single" w:color="auto"/>
            <w:color w:val="0000EE"/>
          </w:rPr>
          <w:t>Form of Securities Purchase Agreement dated January 12, 2018, among ChinaNet Online Holdings, Inc. and certain institutional investors.</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(Incorporated by reference herein to the Exhibit 10.2 of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Commission on January 12, 2018)</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-45085</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580" w:right="399" w:bottom="1440" w:gutter="0" w:footer="0" w:header="0"/>
        </w:sectPr>
      </w:pPr>
    </w:p>
    <w:bookmarkStart w:id="90" w:name="page91"/>
    <w:bookmarkEnd w:id="90"/>
    <w:p>
      <w:pPr>
        <w:ind w:left="760" w:right="4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10.28</w:t>
        </w:r>
      </w:hyperlink>
      <w:r>
        <w:rPr>
          <w:rFonts w:ascii="Times New Roman" w:cs="Times New Roman" w:eastAsia="Times New Roman" w:hAnsi="Times New Roman"/>
          <w:sz w:val="18"/>
          <w:szCs w:val="18"/>
          <w:u w:val="single" w:color="auto"/>
          <w:color w:val="0000EE"/>
        </w:rPr>
        <w:tab/>
      </w:r>
      <w:hyperlink r:id="rId140">
        <w:r>
          <w:rPr>
            <w:rFonts w:ascii="Times New Roman" w:cs="Times New Roman" w:eastAsia="Times New Roman" w:hAnsi="Times New Roman"/>
            <w:sz w:val="18"/>
            <w:szCs w:val="18"/>
            <w:u w:val="single" w:color="auto"/>
            <w:color w:val="0000EE"/>
          </w:rPr>
          <w:t>Securities Purchase Agreement, dated August 7, 2019. (Incorporated by reference herein to the Exhibit 10.1 of the Company’s Current Report on</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Form 8-K filed with the Securities and Exchange Commission on August 9, 2019)</w:t>
        </w:r>
      </w:hyperlink>
    </w:p>
    <w:p>
      <w:pPr>
        <w:spacing w:after="0" w:line="162" w:lineRule="exact"/>
        <w:rPr>
          <w:rFonts w:ascii="Times New Roman" w:cs="Times New Roman" w:eastAsia="Times New Roman" w:hAnsi="Times New Roman"/>
          <w:sz w:val="18"/>
          <w:szCs w:val="18"/>
          <w:u w:val="single" w:color="auto"/>
          <w:color w:val="0000EE"/>
        </w:rPr>
      </w:pPr>
    </w:p>
    <w:p>
      <w:pPr>
        <w:ind w:left="76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10.29</w:t>
        </w:r>
      </w:hyperlink>
      <w:r>
        <w:rPr>
          <w:rFonts w:ascii="Times New Roman" w:cs="Times New Roman" w:eastAsia="Times New Roman" w:hAnsi="Times New Roman"/>
          <w:sz w:val="18"/>
          <w:szCs w:val="18"/>
          <w:u w:val="single" w:color="auto"/>
          <w:color w:val="0000EE"/>
        </w:rPr>
        <w:tab/>
      </w:r>
      <w:hyperlink r:id="rId141">
        <w:r>
          <w:rPr>
            <w:rFonts w:ascii="Times New Roman" w:cs="Times New Roman" w:eastAsia="Times New Roman" w:hAnsi="Times New Roman"/>
            <w:sz w:val="18"/>
            <w:szCs w:val="18"/>
            <w:u w:val="single" w:color="auto"/>
            <w:color w:val="0000EE"/>
          </w:rPr>
          <w:t>English translation of the Technical Development (Commission) Contract dated as of February 28, 2018 by and among the Company, ChinaNet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Online Technology Co., Ltd. and RedRun Limited (Incorporated by reference herein to the Exhibit 10.1 of the Company’s Registration Statement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on Form S-3, as amended, filed with the Securities and Exchange Commission on February 12, 2020)</w:t>
        </w:r>
      </w:hyperlink>
    </w:p>
    <w:p>
      <w:pPr>
        <w:spacing w:after="0" w:line="176" w:lineRule="exact"/>
        <w:rPr>
          <w:rFonts w:ascii="Times New Roman" w:cs="Times New Roman" w:eastAsia="Times New Roman" w:hAnsi="Times New Roman"/>
          <w:sz w:val="18"/>
          <w:szCs w:val="18"/>
          <w:u w:val="single" w:color="auto"/>
          <w:color w:val="0000EE"/>
        </w:rPr>
      </w:pPr>
    </w:p>
    <w:p>
      <w:pPr>
        <w:ind w:left="760" w:right="260" w:hanging="755"/>
        <w:spacing w:after="0" w:line="261" w:lineRule="auto"/>
        <w:tabs>
          <w:tab w:leader="none" w:pos="740" w:val="left"/>
        </w:tabs>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10.30</w:t>
        </w:r>
      </w:hyperlink>
      <w:r>
        <w:rPr>
          <w:rFonts w:ascii="Times New Roman" w:cs="Times New Roman" w:eastAsia="Times New Roman" w:hAnsi="Times New Roman"/>
          <w:sz w:val="18"/>
          <w:szCs w:val="18"/>
          <w:u w:val="single" w:color="auto"/>
          <w:color w:val="0000EE"/>
        </w:rPr>
        <w:tab/>
      </w:r>
      <w:hyperlink r:id="rId142">
        <w:r>
          <w:rPr>
            <w:rFonts w:ascii="Times New Roman" w:cs="Times New Roman" w:eastAsia="Times New Roman" w:hAnsi="Times New Roman"/>
            <w:sz w:val="18"/>
            <w:szCs w:val="18"/>
            <w:u w:val="single" w:color="auto"/>
            <w:color w:val="0000EE"/>
          </w:rPr>
          <w:t>English translation of the Technical Development (Commission) Contract dated as of March 8, 2018 by and between Rise King Century</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Technology Development (Beijing) Co., Ltd. and Beijing Shengshi Kaida Technical Service Co., Ltd. (Incorporated by reference herein to the</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Exhibit 10.2 of the Company’s Registration Statement on Form S-3, as amended,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February 12, 2020)</w:t>
        </w:r>
      </w:hyperlink>
    </w:p>
    <w:p>
      <w:pPr>
        <w:spacing w:after="0" w:line="180" w:lineRule="exact"/>
        <w:rPr>
          <w:rFonts w:ascii="Times New Roman" w:cs="Times New Roman" w:eastAsia="Times New Roman" w:hAnsi="Times New Roman"/>
          <w:sz w:val="18"/>
          <w:szCs w:val="18"/>
          <w:u w:val="single" w:color="auto"/>
          <w:color w:val="0000EE"/>
        </w:rPr>
      </w:pPr>
    </w:p>
    <w:p>
      <w:pPr>
        <w:ind w:left="760" w:right="4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10.31</w:t>
        </w:r>
      </w:hyperlink>
      <w:r>
        <w:rPr>
          <w:rFonts w:ascii="Times New Roman" w:cs="Times New Roman" w:eastAsia="Times New Roman" w:hAnsi="Times New Roman"/>
          <w:sz w:val="18"/>
          <w:szCs w:val="18"/>
          <w:u w:val="single" w:color="auto"/>
          <w:color w:val="0000EE"/>
        </w:rPr>
        <w:tab/>
      </w:r>
      <w:hyperlink r:id="rId143">
        <w:r>
          <w:rPr>
            <w:rFonts w:ascii="Times New Roman" w:cs="Times New Roman" w:eastAsia="Times New Roman" w:hAnsi="Times New Roman"/>
            <w:sz w:val="18"/>
            <w:szCs w:val="18"/>
            <w:u w:val="single" w:color="auto"/>
            <w:color w:val="0000EE"/>
          </w:rPr>
          <w:t>Letter Agreement, dated October 28, 2020, between ZW Data Action Technologies Inc. and FT Global Capital, Inc. (Incorporated by reference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herein to the Exhibit 10.1 of the Exhibit 10.1 of the Company’s Current Report on Form 8-K filed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on December 11, 2020)</w:t>
        </w:r>
      </w:hyperlink>
    </w:p>
    <w:p>
      <w:pPr>
        <w:spacing w:after="0" w:line="176" w:lineRule="exact"/>
        <w:rPr>
          <w:rFonts w:ascii="Times New Roman" w:cs="Times New Roman" w:eastAsia="Times New Roman" w:hAnsi="Times New Roman"/>
          <w:sz w:val="18"/>
          <w:szCs w:val="18"/>
          <w:u w:val="single" w:color="auto"/>
          <w:color w:val="0000EE"/>
        </w:rPr>
      </w:pPr>
    </w:p>
    <w:p>
      <w:pPr>
        <w:ind w:left="760" w:right="8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44">
        <w:r>
          <w:rPr>
            <w:rFonts w:ascii="Times New Roman" w:cs="Times New Roman" w:eastAsia="Times New Roman" w:hAnsi="Times New Roman"/>
            <w:sz w:val="18"/>
            <w:szCs w:val="18"/>
            <w:u w:val="single" w:color="auto"/>
            <w:color w:val="0000EE"/>
          </w:rPr>
          <w:t>10.32</w:t>
        </w:r>
      </w:hyperlink>
      <w:r>
        <w:rPr>
          <w:rFonts w:ascii="Times New Roman" w:cs="Times New Roman" w:eastAsia="Times New Roman" w:hAnsi="Times New Roman"/>
          <w:sz w:val="18"/>
          <w:szCs w:val="18"/>
          <w:u w:val="single" w:color="auto"/>
          <w:color w:val="0000EE"/>
        </w:rPr>
        <w:tab/>
      </w:r>
      <w:hyperlink r:id="rId144">
        <w:r>
          <w:rPr>
            <w:rFonts w:ascii="Times New Roman" w:cs="Times New Roman" w:eastAsia="Times New Roman" w:hAnsi="Times New Roman"/>
            <w:sz w:val="18"/>
            <w:szCs w:val="18"/>
            <w:u w:val="single" w:color="auto"/>
            <w:color w:val="0000EE"/>
          </w:rPr>
          <w:t>Form of Securities Purchase Agreement dated December 10, 2020, among ZW Data Action Technologies Inc. and certain institutional investors.</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(Incorporated by reference herein to the Exhibit 10.2 of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Commission on December 11, 2020)</w:t>
        </w:r>
      </w:hyperlink>
    </w:p>
    <w:p>
      <w:pPr>
        <w:spacing w:after="0" w:line="176" w:lineRule="exact"/>
        <w:rPr>
          <w:rFonts w:ascii="Times New Roman" w:cs="Times New Roman" w:eastAsia="Times New Roman" w:hAnsi="Times New Roman"/>
          <w:sz w:val="18"/>
          <w:szCs w:val="18"/>
          <w:u w:val="single" w:color="auto"/>
          <w:color w:val="0000EE"/>
        </w:rPr>
      </w:pPr>
    </w:p>
    <w:p>
      <w:pPr>
        <w:ind w:left="760" w:right="12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10.33</w:t>
        </w:r>
      </w:hyperlink>
      <w:r>
        <w:rPr>
          <w:rFonts w:ascii="Times New Roman" w:cs="Times New Roman" w:eastAsia="Times New Roman" w:hAnsi="Times New Roman"/>
          <w:sz w:val="18"/>
          <w:szCs w:val="18"/>
          <w:u w:val="single" w:color="auto"/>
          <w:color w:val="0000EE"/>
        </w:rPr>
        <w:tab/>
      </w:r>
      <w:hyperlink r:id="rId145">
        <w:r>
          <w:rPr>
            <w:rFonts w:ascii="Times New Roman" w:cs="Times New Roman" w:eastAsia="Times New Roman" w:hAnsi="Times New Roman"/>
            <w:sz w:val="18"/>
            <w:szCs w:val="18"/>
            <w:u w:val="single" w:color="auto"/>
            <w:color w:val="0000EE"/>
          </w:rPr>
          <w:t>Letter Agreement, dated February 16, 2021, between ZW Data Action Technologies Inc. and FT Global Capital, Inc. (Incorporated by reference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herein to the Exhibit 10.1 of the Company’s Current Report on Form 8-K filed with the Securities and Exchange Commission on February 17,</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2021)</w:t>
        </w:r>
      </w:hyperlink>
    </w:p>
    <w:p>
      <w:pPr>
        <w:spacing w:after="0" w:line="176" w:lineRule="exact"/>
        <w:rPr>
          <w:rFonts w:ascii="Times New Roman" w:cs="Times New Roman" w:eastAsia="Times New Roman" w:hAnsi="Times New Roman"/>
          <w:sz w:val="18"/>
          <w:szCs w:val="18"/>
          <w:u w:val="single" w:color="auto"/>
          <w:color w:val="0000EE"/>
        </w:rPr>
      </w:pPr>
    </w:p>
    <w:p>
      <w:pPr>
        <w:ind w:left="760" w:right="22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46">
        <w:r>
          <w:rPr>
            <w:rFonts w:ascii="Times New Roman" w:cs="Times New Roman" w:eastAsia="Times New Roman" w:hAnsi="Times New Roman"/>
            <w:sz w:val="18"/>
            <w:szCs w:val="18"/>
            <w:u w:val="single" w:color="auto"/>
            <w:color w:val="0000EE"/>
          </w:rPr>
          <w:t>10.34</w:t>
        </w:r>
      </w:hyperlink>
      <w:r>
        <w:rPr>
          <w:rFonts w:ascii="Times New Roman" w:cs="Times New Roman" w:eastAsia="Times New Roman" w:hAnsi="Times New Roman"/>
          <w:sz w:val="18"/>
          <w:szCs w:val="18"/>
          <w:u w:val="single" w:color="auto"/>
          <w:color w:val="0000EE"/>
        </w:rPr>
        <w:tab/>
      </w:r>
      <w:hyperlink r:id="rId146">
        <w:r>
          <w:rPr>
            <w:rFonts w:ascii="Times New Roman" w:cs="Times New Roman" w:eastAsia="Times New Roman" w:hAnsi="Times New Roman"/>
            <w:sz w:val="18"/>
            <w:szCs w:val="18"/>
            <w:u w:val="single" w:color="auto"/>
            <w:color w:val="0000EE"/>
          </w:rPr>
          <w:t>Form of Securities Purchase Agreement dated February 16, 2021 among ZW Data Action Technologies Inc. and certain institutional investors.</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(Incorporated by reference herein to the Exhibit 10.2 of the Company’s Current Report on Form 8-K filed with the Securities and Exchange</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Commission on February 17, 2021)</w:t>
        </w:r>
      </w:hyperlink>
    </w:p>
    <w:p>
      <w:pPr>
        <w:spacing w:after="0" w:line="176" w:lineRule="exact"/>
        <w:rPr>
          <w:rFonts w:ascii="Times New Roman" w:cs="Times New Roman" w:eastAsia="Times New Roman" w:hAnsi="Times New Roman"/>
          <w:sz w:val="18"/>
          <w:szCs w:val="18"/>
          <w:u w:val="single" w:color="auto"/>
          <w:color w:val="0000EE"/>
        </w:rPr>
      </w:pPr>
    </w:p>
    <w:p>
      <w:pPr>
        <w:jc w:val="right"/>
        <w:ind w:right="160"/>
        <w:spacing w:after="0" w:line="282" w:lineRule="auto"/>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10.35    Securities Purchase Agreement dated August 23, 2024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herein to Exhibit 10.1 of the Company’s Current Report on Form 8-K filed with the Securities and Exchange Commission on August 27, 2024)</w:t>
        </w:r>
      </w:hyperlink>
    </w:p>
    <w:p>
      <w:pPr>
        <w:spacing w:after="0" w:line="162" w:lineRule="exact"/>
        <w:rPr>
          <w:sz w:val="20"/>
          <w:szCs w:val="20"/>
          <w:color w:val="auto"/>
        </w:rPr>
      </w:pPr>
    </w:p>
    <w:p>
      <w:pPr>
        <w:jc w:val="right"/>
        <w:spacing w:after="0" w:line="282" w:lineRule="auto"/>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10.36    Securities Purchase Agreement dated September 5, 2024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herein to Exhibit 10.1 of the Company’s Current Report on Form 8-K filed with the Securities and Exchange Commission on September 9, 2024)</w:t>
        </w:r>
      </w:hyperlink>
    </w:p>
    <w:p>
      <w:pPr>
        <w:spacing w:after="0" w:line="162" w:lineRule="exact"/>
        <w:rPr>
          <w:sz w:val="20"/>
          <w:szCs w:val="20"/>
          <w:color w:val="auto"/>
        </w:rPr>
      </w:pPr>
    </w:p>
    <w:p>
      <w:pPr>
        <w:jc w:val="right"/>
        <w:spacing w:after="0" w:line="282" w:lineRule="auto"/>
        <w:rPr>
          <w:rFonts w:ascii="Times New Roman" w:cs="Times New Roman" w:eastAsia="Times New Roman" w:hAnsi="Times New Roman"/>
          <w:sz w:val="18"/>
          <w:szCs w:val="18"/>
          <w:u w:val="single" w:color="auto"/>
          <w:color w:val="0000EE"/>
        </w:rPr>
      </w:pPr>
      <w:hyperlink r:id="rId149">
        <w:r>
          <w:rPr>
            <w:rFonts w:ascii="Times New Roman" w:cs="Times New Roman" w:eastAsia="Times New Roman" w:hAnsi="Times New Roman"/>
            <w:sz w:val="18"/>
            <w:szCs w:val="18"/>
            <w:u w:val="single" w:color="auto"/>
            <w:color w:val="0000EE"/>
          </w:rPr>
          <w:t>10.37    Securities Purchase Agreement dated September 6, 2024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herein to Exhibit 10.3 of the Company’s Current Report on Form 8-K filed with the Securities and Exchange Commission on September 9, 2024)</w:t>
        </w:r>
      </w:hyperlink>
    </w:p>
    <w:p>
      <w:pPr>
        <w:spacing w:after="0" w:line="162" w:lineRule="exact"/>
        <w:rPr>
          <w:sz w:val="20"/>
          <w:szCs w:val="20"/>
          <w:color w:val="auto"/>
        </w:rPr>
      </w:pPr>
    </w:p>
    <w:p>
      <w:pPr>
        <w:ind w:left="760" w:right="640" w:hanging="755"/>
        <w:spacing w:after="0" w:line="266" w:lineRule="auto"/>
        <w:tabs>
          <w:tab w:leader="none" w:pos="740" w:val="left"/>
        </w:tabs>
        <w:rPr>
          <w:rFonts w:ascii="Times New Roman" w:cs="Times New Roman" w:eastAsia="Times New Roman" w:hAnsi="Times New Roman"/>
          <w:sz w:val="18"/>
          <w:szCs w:val="18"/>
          <w:u w:val="single" w:color="auto"/>
          <w:color w:val="0000EE"/>
        </w:rPr>
      </w:pPr>
      <w:hyperlink r:id="rId150">
        <w:r>
          <w:rPr>
            <w:rFonts w:ascii="Times New Roman" w:cs="Times New Roman" w:eastAsia="Times New Roman" w:hAnsi="Times New Roman"/>
            <w:sz w:val="18"/>
            <w:szCs w:val="18"/>
            <w:u w:val="single" w:color="auto"/>
            <w:color w:val="0000EE"/>
          </w:rPr>
          <w:t>10.38</w:t>
        </w:r>
      </w:hyperlink>
      <w:r>
        <w:rPr>
          <w:rFonts w:ascii="Times New Roman" w:cs="Times New Roman" w:eastAsia="Times New Roman" w:hAnsi="Times New Roman"/>
          <w:sz w:val="18"/>
          <w:szCs w:val="18"/>
          <w:u w:val="single" w:color="auto"/>
          <w:color w:val="0000EE"/>
        </w:rPr>
        <w:tab/>
      </w:r>
      <w:hyperlink r:id="rId150">
        <w:r>
          <w:rPr>
            <w:rFonts w:ascii="Times New Roman" w:cs="Times New Roman" w:eastAsia="Times New Roman" w:hAnsi="Times New Roman"/>
            <w:sz w:val="18"/>
            <w:szCs w:val="18"/>
            <w:u w:val="single" w:color="auto"/>
            <w:color w:val="0000EE"/>
          </w:rPr>
          <w:t>Securities Purchase Agreement dated September 25, 2024 among ZW Data Action Technologies Inc. and the Purchaser (Incorporated by</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reference herein to Exhibit 10.1 of the Company’s Current Report on Form 8-K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September 27, 2024)</w:t>
        </w:r>
      </w:hyperlink>
    </w:p>
    <w:p>
      <w:pPr>
        <w:spacing w:after="0" w:line="176" w:lineRule="exact"/>
        <w:rPr>
          <w:rFonts w:ascii="Times New Roman" w:cs="Times New Roman" w:eastAsia="Times New Roman" w:hAnsi="Times New Roman"/>
          <w:sz w:val="18"/>
          <w:szCs w:val="18"/>
          <w:u w:val="single" w:color="auto"/>
          <w:color w:val="0000EE"/>
        </w:rPr>
      </w:pPr>
    </w:p>
    <w:p>
      <w:pPr>
        <w:jc w:val="right"/>
        <w:ind w:right="220"/>
        <w:spacing w:after="0" w:line="282" w:lineRule="auto"/>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10.39    Securities Purchase Agreement dated January 2, 2025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herein to Exhibit 10.1 of the Company’s Current Report on Form 8-K filed with the Securities and Exchange Commission on January 7, 2025)</w:t>
        </w:r>
      </w:hyperlink>
    </w:p>
    <w:p>
      <w:pPr>
        <w:spacing w:after="0" w:line="162" w:lineRule="exact"/>
        <w:rPr>
          <w:sz w:val="20"/>
          <w:szCs w:val="20"/>
          <w:color w:val="auto"/>
        </w:rPr>
      </w:pPr>
    </w:p>
    <w:p>
      <w:pPr>
        <w:jc w:val="right"/>
        <w:ind w:right="220"/>
        <w:spacing w:after="0" w:line="282" w:lineRule="auto"/>
        <w:rPr>
          <w:rFonts w:ascii="Times New Roman" w:cs="Times New Roman" w:eastAsia="Times New Roman" w:hAnsi="Times New Roman"/>
          <w:sz w:val="18"/>
          <w:szCs w:val="18"/>
          <w:u w:val="single" w:color="auto"/>
          <w:color w:val="0000EE"/>
        </w:rPr>
      </w:pPr>
      <w:hyperlink r:id="rId152">
        <w:r>
          <w:rPr>
            <w:rFonts w:ascii="Times New Roman" w:cs="Times New Roman" w:eastAsia="Times New Roman" w:hAnsi="Times New Roman"/>
            <w:sz w:val="18"/>
            <w:szCs w:val="18"/>
            <w:u w:val="single" w:color="auto"/>
            <w:color w:val="0000EE"/>
          </w:rPr>
          <w:t>10.40    Securities Purchase Agreement dated January 3, 2025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herein to Exhibit 10.3 of the Company’s Current Report on Form 8-K filed with the Securities and Exchange Commission on January 7, 2025)</w:t>
        </w:r>
      </w:hyperlink>
    </w:p>
    <w:p>
      <w:pPr>
        <w:spacing w:after="0" w:line="162" w:lineRule="exact"/>
        <w:rPr>
          <w:sz w:val="20"/>
          <w:szCs w:val="20"/>
          <w:color w:val="auto"/>
        </w:rPr>
      </w:pPr>
    </w:p>
    <w:p>
      <w:pPr>
        <w:jc w:val="right"/>
        <w:ind w:right="120"/>
        <w:spacing w:after="0" w:line="282" w:lineRule="auto"/>
        <w:rPr>
          <w:rFonts w:ascii="Times New Roman" w:cs="Times New Roman" w:eastAsia="Times New Roman" w:hAnsi="Times New Roman"/>
          <w:sz w:val="18"/>
          <w:szCs w:val="18"/>
          <w:u w:val="single" w:color="auto"/>
          <w:color w:val="0000EE"/>
        </w:rPr>
      </w:pPr>
      <w:hyperlink r:id="rId153">
        <w:r>
          <w:rPr>
            <w:rFonts w:ascii="Times New Roman" w:cs="Times New Roman" w:eastAsia="Times New Roman" w:hAnsi="Times New Roman"/>
            <w:sz w:val="18"/>
            <w:szCs w:val="18"/>
            <w:u w:val="single" w:color="auto"/>
            <w:color w:val="0000EE"/>
          </w:rPr>
          <w:t>10.41    Securities Purchase Agreement dated January 15, 2025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herein to Exhibit 10.1 of the Company’s Current Report on Form 8-K filed with the Securities and Exchange Commission on January 21, 2025)</w:t>
        </w:r>
      </w:hyperlink>
    </w:p>
    <w:p>
      <w:pPr>
        <w:spacing w:after="0" w:line="162" w:lineRule="exact"/>
        <w:rPr>
          <w:sz w:val="20"/>
          <w:szCs w:val="20"/>
          <w:color w:val="auto"/>
        </w:rPr>
      </w:pPr>
    </w:p>
    <w:p>
      <w:pPr>
        <w:jc w:val="right"/>
        <w:ind w:right="120"/>
        <w:spacing w:after="0" w:line="282" w:lineRule="auto"/>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10.42    Securities Purchase Agreement dated January 17, 2025 among ZW Data Action Technologies Inc. and the Purchaser (Incorporated by reference</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herein to Exhibit 10.3 of the Company’s Current Report on Form 8-K filed with the Securities and Exchange Commission on January 21, 2025)</w:t>
        </w:r>
      </w:hyperlink>
    </w:p>
    <w:p>
      <w:pPr>
        <w:spacing w:after="0" w:line="162" w:lineRule="exact"/>
        <w:rPr>
          <w:sz w:val="20"/>
          <w:szCs w:val="20"/>
          <w:color w:val="auto"/>
        </w:rPr>
      </w:pPr>
    </w:p>
    <w:p>
      <w:pPr>
        <w:ind w:left="760" w:right="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55">
        <w:r>
          <w:rPr>
            <w:rFonts w:ascii="Times New Roman" w:cs="Times New Roman" w:eastAsia="Times New Roman" w:hAnsi="Times New Roman"/>
            <w:sz w:val="18"/>
            <w:szCs w:val="18"/>
            <w:u w:val="single" w:color="auto"/>
            <w:color w:val="0000EE"/>
          </w:rPr>
          <w:t>10.43</w:t>
        </w:r>
      </w:hyperlink>
      <w:r>
        <w:rPr>
          <w:rFonts w:ascii="Times New Roman" w:cs="Times New Roman" w:eastAsia="Times New Roman" w:hAnsi="Times New Roman"/>
          <w:sz w:val="18"/>
          <w:szCs w:val="18"/>
          <w:u w:val="single" w:color="auto"/>
          <w:color w:val="0000EE"/>
        </w:rPr>
        <w:tab/>
      </w:r>
      <w:hyperlink r:id="rId155">
        <w:r>
          <w:rPr>
            <w:rFonts w:ascii="Times New Roman" w:cs="Times New Roman" w:eastAsia="Times New Roman" w:hAnsi="Times New Roman"/>
            <w:sz w:val="18"/>
            <w:szCs w:val="18"/>
            <w:u w:val="single" w:color="auto"/>
            <w:color w:val="0000EE"/>
          </w:rPr>
          <w:t>Share Sale and Purchase Agreement dated March 3, 2025 (Incorporated by reference herein to Exhibit 10.1 of the Company’s Current Report on</w:t>
        </w:r>
      </w:hyperlink>
      <w:r>
        <w:rPr>
          <w:rFonts w:ascii="Times New Roman" w:cs="Times New Roman" w:eastAsia="Times New Roman" w:hAnsi="Times New Roman"/>
          <w:sz w:val="18"/>
          <w:szCs w:val="18"/>
          <w:u w:val="single" w:color="auto"/>
          <w:color w:val="0000EE"/>
        </w:rPr>
        <w:t xml:space="preserve"> </w:t>
      </w:r>
      <w:hyperlink r:id="rId155">
        <w:r>
          <w:rPr>
            <w:rFonts w:ascii="Times New Roman" w:cs="Times New Roman" w:eastAsia="Times New Roman" w:hAnsi="Times New Roman"/>
            <w:sz w:val="18"/>
            <w:szCs w:val="18"/>
            <w:u w:val="single" w:color="auto"/>
            <w:color w:val="0000EE"/>
          </w:rPr>
          <w:t>Form 8-K filed with the Securities and Exchange Commission on March 4, 2025)</w:t>
        </w:r>
      </w:hyperlink>
    </w:p>
    <w:p>
      <w:pPr>
        <w:spacing w:after="0" w:line="162" w:lineRule="exact"/>
        <w:rPr>
          <w:rFonts w:ascii="Times New Roman" w:cs="Times New Roman" w:eastAsia="Times New Roman" w:hAnsi="Times New Roman"/>
          <w:sz w:val="18"/>
          <w:szCs w:val="18"/>
          <w:u w:val="single" w:color="auto"/>
          <w:color w:val="0000EE"/>
        </w:rPr>
      </w:pPr>
    </w:p>
    <w:p>
      <w:pPr>
        <w:ind w:left="760" w:right="22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10.44</w:t>
        </w:r>
      </w:hyperlink>
      <w:r>
        <w:rPr>
          <w:rFonts w:ascii="Times New Roman" w:cs="Times New Roman" w:eastAsia="Times New Roman" w:hAnsi="Times New Roman"/>
          <w:sz w:val="18"/>
          <w:szCs w:val="18"/>
          <w:u w:val="single" w:color="auto"/>
          <w:color w:val="0000EE"/>
        </w:rPr>
        <w:tab/>
      </w:r>
      <w:hyperlink r:id="rId156">
        <w:r>
          <w:rPr>
            <w:rFonts w:ascii="Times New Roman" w:cs="Times New Roman" w:eastAsia="Times New Roman" w:hAnsi="Times New Roman"/>
            <w:sz w:val="18"/>
            <w:szCs w:val="18"/>
            <w:u w:val="single" w:color="auto"/>
            <w:color w:val="0000EE"/>
          </w:rPr>
          <w:t>Securities Purchase Agreement with Golden Harvest Trust Limited dated May 8, 2025 (Incorporated by reference herein to Exhibit 10.1 of the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Company’s Current Report on Form 8-K filed with the Securities and Exchange Commission on May 14, 2025)</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740" w:val="left"/>
        </w:tabs>
        <w:rPr>
          <w:rFonts w:ascii="Times New Roman" w:cs="Times New Roman" w:eastAsia="Times New Roman" w:hAnsi="Times New Roman"/>
          <w:sz w:val="17"/>
          <w:szCs w:val="17"/>
          <w:u w:val="single" w:color="auto"/>
          <w:color w:val="0000EE"/>
        </w:rPr>
      </w:pPr>
      <w:hyperlink r:id="rId157">
        <w:r>
          <w:rPr>
            <w:rFonts w:ascii="Times New Roman" w:cs="Times New Roman" w:eastAsia="Times New Roman" w:hAnsi="Times New Roman"/>
            <w:sz w:val="18"/>
            <w:szCs w:val="18"/>
            <w:u w:val="single" w:color="auto"/>
            <w:color w:val="0000EE"/>
          </w:rPr>
          <w:t>10.45</w:t>
        </w:r>
      </w:hyperlink>
      <w:r>
        <w:rPr>
          <w:rFonts w:ascii="Times New Roman" w:cs="Times New Roman" w:eastAsia="Times New Roman" w:hAnsi="Times New Roman"/>
          <w:sz w:val="18"/>
          <w:szCs w:val="18"/>
          <w:u w:val="single" w:color="auto"/>
          <w:color w:val="0000EE"/>
        </w:rPr>
        <w:tab/>
      </w:r>
      <w:hyperlink r:id="rId157">
        <w:r>
          <w:rPr>
            <w:rFonts w:ascii="Times New Roman" w:cs="Times New Roman" w:eastAsia="Times New Roman" w:hAnsi="Times New Roman"/>
            <w:sz w:val="17"/>
            <w:szCs w:val="17"/>
            <w:u w:val="single" w:color="auto"/>
            <w:color w:val="0000EE"/>
          </w:rPr>
          <w:t>Securities Purchase Agreement with BlackSilver Trust (Hong Kong) Limited dated May 8, 2025 (Incorporated by reference herein to Exhibit</w:t>
        </w:r>
      </w:hyperlink>
    </w:p>
    <w:p>
      <w:pPr>
        <w:spacing w:after="0" w:line="2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10.3 of the Company’s Current Report on Form 8-K filed with the Securities and Exchange Commission on May 14, 2025)</w:t>
        </w:r>
      </w:hyperlink>
    </w:p>
    <w:p>
      <w:pPr>
        <w:spacing w:after="0" w:line="207" w:lineRule="exact"/>
        <w:rPr>
          <w:sz w:val="20"/>
          <w:szCs w:val="20"/>
          <w:color w:val="auto"/>
        </w:rPr>
      </w:pPr>
    </w:p>
    <w:p>
      <w:pPr>
        <w:ind w:left="760" w:right="4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10.46</w:t>
        </w:r>
      </w:hyperlink>
      <w:r>
        <w:rPr>
          <w:rFonts w:ascii="Times New Roman" w:cs="Times New Roman" w:eastAsia="Times New Roman" w:hAnsi="Times New Roman"/>
          <w:sz w:val="18"/>
          <w:szCs w:val="18"/>
          <w:u w:val="single" w:color="auto"/>
          <w:color w:val="0000EE"/>
        </w:rPr>
        <w:tab/>
      </w:r>
      <w:hyperlink r:id="rId158">
        <w:r>
          <w:rPr>
            <w:rFonts w:ascii="Times New Roman" w:cs="Times New Roman" w:eastAsia="Times New Roman" w:hAnsi="Times New Roman"/>
            <w:sz w:val="18"/>
            <w:szCs w:val="18"/>
            <w:u w:val="single" w:color="auto"/>
            <w:color w:val="0000EE"/>
          </w:rPr>
          <w:t>Securities Purchase Agreement Chaucer Investment &amp; Consulting Limited dated May 13, 2025 (Incorporated by reference herein to Exhibit 10.5</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of the Company’s Current Report on Form 8-K filed with the Securities and Exchange Commission on May 14, 2025)</w:t>
        </w:r>
      </w:hyperlink>
    </w:p>
    <w:p>
      <w:pPr>
        <w:spacing w:after="0" w:line="162" w:lineRule="exact"/>
        <w:rPr>
          <w:rFonts w:ascii="Times New Roman" w:cs="Times New Roman" w:eastAsia="Times New Roman" w:hAnsi="Times New Roman"/>
          <w:sz w:val="18"/>
          <w:szCs w:val="18"/>
          <w:u w:val="single" w:color="auto"/>
          <w:color w:val="0000EE"/>
        </w:rPr>
      </w:pPr>
    </w:p>
    <w:p>
      <w:pPr>
        <w:ind w:left="760" w:right="80" w:hanging="755"/>
        <w:spacing w:after="0" w:line="282" w:lineRule="auto"/>
        <w:tabs>
          <w:tab w:leader="none" w:pos="740" w:val="left"/>
        </w:tabs>
        <w:rPr>
          <w:rFonts w:ascii="Times New Roman" w:cs="Times New Roman" w:eastAsia="Times New Roman" w:hAnsi="Times New Roman"/>
          <w:sz w:val="18"/>
          <w:szCs w:val="18"/>
          <w:u w:val="single" w:color="auto"/>
          <w:color w:val="0000EE"/>
        </w:rPr>
      </w:pPr>
      <w:hyperlink r:id="rId159">
        <w:r>
          <w:rPr>
            <w:rFonts w:ascii="Times New Roman" w:cs="Times New Roman" w:eastAsia="Times New Roman" w:hAnsi="Times New Roman"/>
            <w:sz w:val="18"/>
            <w:szCs w:val="18"/>
            <w:u w:val="single" w:color="auto"/>
            <w:color w:val="0000EE"/>
          </w:rPr>
          <w:t>10.47</w:t>
        </w:r>
      </w:hyperlink>
      <w:r>
        <w:rPr>
          <w:rFonts w:ascii="Times New Roman" w:cs="Times New Roman" w:eastAsia="Times New Roman" w:hAnsi="Times New Roman"/>
          <w:sz w:val="18"/>
          <w:szCs w:val="18"/>
          <w:u w:val="single" w:color="auto"/>
          <w:color w:val="0000EE"/>
        </w:rPr>
        <w:tab/>
      </w:r>
      <w:hyperlink r:id="rId159">
        <w:r>
          <w:rPr>
            <w:rFonts w:ascii="Times New Roman" w:cs="Times New Roman" w:eastAsia="Times New Roman" w:hAnsi="Times New Roman"/>
            <w:sz w:val="18"/>
            <w:szCs w:val="18"/>
            <w:u w:val="single" w:color="auto"/>
            <w:color w:val="0000EE"/>
          </w:rPr>
          <w:t>Purchase Agreement with B Ocean Capital Management Limited dated September 17, 2025 (Incorporated by reference herein to Exhibit 10.1 of</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the Company’s Current Report on Form 8-K filed with the Securities and Exchange Commission on September 19, 2025)</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740" w:val="left"/>
        </w:tabs>
        <w:rPr>
          <w:rFonts w:ascii="Times New Roman" w:cs="Times New Roman" w:eastAsia="Times New Roman" w:hAnsi="Times New Roman"/>
          <w:sz w:val="17"/>
          <w:szCs w:val="17"/>
          <w:u w:val="single" w:color="auto"/>
          <w:color w:val="0000EE"/>
        </w:rPr>
      </w:pPr>
      <w:hyperlink r:id="rId160">
        <w:r>
          <w:rPr>
            <w:rFonts w:ascii="Times New Roman" w:cs="Times New Roman" w:eastAsia="Times New Roman" w:hAnsi="Times New Roman"/>
            <w:sz w:val="18"/>
            <w:szCs w:val="18"/>
            <w:u w:val="single" w:color="auto"/>
            <w:color w:val="0000EE"/>
          </w:rPr>
          <w:t>10.48</w:t>
        </w:r>
      </w:hyperlink>
      <w:r>
        <w:rPr>
          <w:rFonts w:ascii="Times New Roman" w:cs="Times New Roman" w:eastAsia="Times New Roman" w:hAnsi="Times New Roman"/>
          <w:sz w:val="18"/>
          <w:szCs w:val="18"/>
          <w:u w:val="single" w:color="auto"/>
          <w:color w:val="0000EE"/>
        </w:rPr>
        <w:tab/>
      </w:r>
      <w:hyperlink r:id="rId160">
        <w:r>
          <w:rPr>
            <w:rFonts w:ascii="Times New Roman" w:cs="Times New Roman" w:eastAsia="Times New Roman" w:hAnsi="Times New Roman"/>
            <w:sz w:val="17"/>
            <w:szCs w:val="17"/>
            <w:u w:val="single" w:color="auto"/>
            <w:color w:val="0000EE"/>
          </w:rPr>
          <w:t>Purchase Agreement with Fun Star Group INC. and Modest Attack Limited dated October 28, 2025 (Incorporated by reference herein to Exhibit</w:t>
        </w:r>
      </w:hyperlink>
    </w:p>
    <w:p>
      <w:pPr>
        <w:spacing w:after="0" w:line="27"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10.1 of the Company’s Current Report on Form 8-K filed with the Securities and Exchange Commission on October 29, 2025)</w:t>
        </w:r>
      </w:hyperlink>
    </w:p>
    <w:p>
      <w:pPr>
        <w:spacing w:after="0" w:line="207" w:lineRule="exact"/>
        <w:rPr>
          <w:sz w:val="20"/>
          <w:szCs w:val="20"/>
          <w:color w:val="auto"/>
        </w:rPr>
      </w:pPr>
    </w:p>
    <w:p>
      <w:pPr>
        <w:ind w:left="760" w:right="60" w:hanging="752"/>
        <w:spacing w:after="0" w:line="282" w:lineRule="auto"/>
        <w:tabs>
          <w:tab w:leader="none" w:pos="760" w:val="left"/>
        </w:tabs>
        <w:numPr>
          <w:ilvl w:val="0"/>
          <w:numId w:val="30"/>
        </w:numPr>
        <w:rPr>
          <w:rFonts w:ascii="Times New Roman" w:cs="Times New Roman" w:eastAsia="Times New Roman" w:hAnsi="Times New Roman"/>
          <w:sz w:val="18"/>
          <w:szCs w:val="18"/>
          <w:u w:val="single" w:color="auto"/>
          <w:color w:val="0000EE"/>
        </w:rPr>
      </w:pPr>
      <w:hyperlink r:id="rId161">
        <w:r>
          <w:rPr>
            <w:rFonts w:ascii="Times New Roman" w:cs="Times New Roman" w:eastAsia="Times New Roman" w:hAnsi="Times New Roman"/>
            <w:sz w:val="18"/>
            <w:szCs w:val="18"/>
            <w:u w:val="single" w:color="auto"/>
            <w:color w:val="0000EE"/>
          </w:rPr>
          <w:t>Code of Ethics (Incorporated by reference herein to the Exhibit 14.1 of the Company’s Current Report on Form 8-K filed with the Securities and</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Exchange Commission on December 21, 2009)</w:t>
        </w:r>
      </w:hyperlink>
    </w:p>
    <w:p>
      <w:pPr>
        <w:sectPr>
          <w:pgSz w:w="11900" w:h="16838" w:orient="portrait"/>
          <w:cols w:equalWidth="0" w:num="1">
            <w:col w:w="11240"/>
          </w:cols>
          <w:pgMar w:left="320" w:top="580" w:right="339" w:bottom="0" w:gutter="0" w:footer="0" w:header="0"/>
        </w:sectPr>
      </w:pPr>
    </w:p>
    <w:bookmarkStart w:id="91" w:name="page92"/>
    <w:bookmarkEnd w:id="91"/>
    <w:p>
      <w:pPr>
        <w:ind w:left="760" w:hanging="752"/>
        <w:spacing w:after="0" w:line="282" w:lineRule="auto"/>
        <w:tabs>
          <w:tab w:leader="none" w:pos="760" w:val="left"/>
        </w:tabs>
        <w:numPr>
          <w:ilvl w:val="0"/>
          <w:numId w:val="31"/>
        </w:numPr>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Insider Trading Policy (Incorporated by reference herein to the Exhibit 19 to the Company’s Annual Report on Form 10-K filed with the</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Securities and Exchange Commission on April 15, 2025)</w:t>
        </w:r>
      </w:hyperlink>
    </w:p>
    <w:p>
      <w:pPr>
        <w:spacing w:after="0" w:line="162" w:lineRule="exact"/>
        <w:rPr>
          <w:rFonts w:ascii="Times New Roman" w:cs="Times New Roman" w:eastAsia="Times New Roman" w:hAnsi="Times New Roman"/>
          <w:sz w:val="18"/>
          <w:szCs w:val="18"/>
          <w:u w:val="single" w:color="auto"/>
          <w:color w:val="0000EE"/>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21.1</w:t>
      </w:r>
      <w:r>
        <w:rPr>
          <w:sz w:val="20"/>
          <w:szCs w:val="20"/>
          <w:color w:val="auto"/>
        </w:rPr>
        <w:tab/>
      </w:r>
      <w:r>
        <w:rPr>
          <w:rFonts w:ascii="Times New Roman" w:cs="Times New Roman" w:eastAsia="Times New Roman" w:hAnsi="Times New Roman"/>
          <w:sz w:val="18"/>
          <w:szCs w:val="18"/>
          <w:u w:val="single" w:color="auto"/>
          <w:color w:val="0000EE"/>
        </w:rPr>
        <w:t>Subsidiaries of the Registrant +</w:t>
      </w:r>
    </w:p>
    <w:p>
      <w:pPr>
        <w:spacing w:after="0" w:line="225" w:lineRule="exact"/>
        <w:rPr>
          <w:rFonts w:ascii="Times New Roman" w:cs="Times New Roman" w:eastAsia="Times New Roman" w:hAnsi="Times New Roman"/>
          <w:sz w:val="18"/>
          <w:szCs w:val="18"/>
          <w:u w:val="single" w:color="auto"/>
          <w:color w:val="0000EE"/>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sectPr>
      </w:pPr>
    </w:p>
    <w:bookmarkStart w:id="92" w:name="page93"/>
    <w:bookmarkEnd w:id="92"/>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ARK Pro CPA &amp; Co. +</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24</w:t>
      </w:r>
      <w:r>
        <w:rPr>
          <w:sz w:val="20"/>
          <w:szCs w:val="20"/>
          <w:color w:val="auto"/>
        </w:rPr>
        <w:tab/>
      </w:r>
      <w:r>
        <w:rPr>
          <w:rFonts w:ascii="Times New Roman" w:cs="Times New Roman" w:eastAsia="Times New Roman" w:hAnsi="Times New Roman"/>
          <w:sz w:val="18"/>
          <w:szCs w:val="18"/>
          <w:u w:val="single" w:color="auto"/>
          <w:color w:val="0000EE"/>
        </w:rPr>
        <w:t>Power of Attorney (included in the signature page) +</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7"/>
          <w:szCs w:val="17"/>
          <w:u w:val="single" w:color="auto"/>
          <w:color w:val="0000EE"/>
        </w:rPr>
        <w:t>Certification pursuant to Rule 13a-14(a) and 15d-14(a), as adopted pursuant to Section 302 of the Sarbanes-Oxley Act of 2002. +</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pursuant to Rule 13a-14(a) and 15d-14(a), as adopted pursuant to Section 302 of the Sarbanes-Oxley Act of 2002. +</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 +</w:t>
      </w:r>
    </w:p>
    <w:p>
      <w:pPr>
        <w:spacing w:after="0" w:line="225" w:lineRule="exact"/>
        <w:rPr>
          <w:sz w:val="20"/>
          <w:szCs w:val="20"/>
          <w:color w:val="auto"/>
        </w:rPr>
      </w:pPr>
    </w:p>
    <w:p>
      <w:pPr>
        <w:ind w:left="800" w:right="160" w:hanging="792"/>
        <w:spacing w:after="0" w:line="282" w:lineRule="auto"/>
        <w:tabs>
          <w:tab w:leader="none" w:pos="800" w:val="left"/>
        </w:tabs>
        <w:numPr>
          <w:ilvl w:val="0"/>
          <w:numId w:val="32"/>
        </w:numPr>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Clawback Policy (Incorporated by reference herein to the Exhibit 97 to the Company’s Annual Report on Form 10-K filed with the Securities</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and Exchange Commission on April 15, 2025)</w:t>
        </w:r>
      </w:hyperlink>
    </w:p>
    <w:p>
      <w:pPr>
        <w:spacing w:after="0" w:line="162" w:lineRule="exact"/>
        <w:rPr>
          <w:rFonts w:ascii="Times New Roman" w:cs="Times New Roman" w:eastAsia="Times New Roman" w:hAnsi="Times New Roman"/>
          <w:sz w:val="18"/>
          <w:szCs w:val="18"/>
          <w:u w:val="single" w:color="auto"/>
          <w:color w:val="0000EE"/>
        </w:rPr>
      </w:pPr>
    </w:p>
    <w:p>
      <w:pPr>
        <w:ind w:left="800" w:hanging="792"/>
        <w:spacing w:after="0" w:line="266"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are filed herewith: (i) Inline XBRL Instance, (ii) Inline XBRL Taxonomy Extension Schema, (iii) Inline XBRL Taxonomy Extension Calculation, (iv) XBRL Taxonomy Extension Labels, (v) XBRL Taxonomy Extension Presentation, and (vi) Inline XBRL Taxonomy Extension Definition. +</w:t>
      </w:r>
    </w:p>
    <w:p>
      <w:pPr>
        <w:spacing w:after="0" w:line="176" w:lineRule="exact"/>
        <w:rPr>
          <w:rFonts w:ascii="Times New Roman" w:cs="Times New Roman" w:eastAsia="Times New Roman" w:hAnsi="Times New Roman"/>
          <w:sz w:val="18"/>
          <w:szCs w:val="18"/>
          <w:u w:val="single" w:color="auto"/>
          <w:color w:val="0000EE"/>
        </w:rPr>
      </w:pPr>
    </w:p>
    <w:p>
      <w:pPr>
        <w:ind w:left="800" w:right="180" w:hanging="792"/>
        <w:spacing w:after="0" w:line="282" w:lineRule="auto"/>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w:t>
      </w:r>
    </w:p>
    <w:p>
      <w:pPr>
        <w:spacing w:after="0" w:line="162" w:lineRule="exact"/>
        <w:rPr>
          <w:rFonts w:ascii="Times New Roman" w:cs="Times New Roman" w:eastAsia="Times New Roman" w:hAnsi="Times New Roman"/>
          <w:sz w:val="18"/>
          <w:szCs w:val="18"/>
          <w:u w:val="single" w:color="auto"/>
          <w:color w:val="0000EE"/>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u w:val="single" w:color="auto"/>
          <w:color w:val="0000EE"/>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managerial contracts or compensatory plans or arrangements:</w:t>
      </w:r>
    </w:p>
    <w:p>
      <w:pPr>
        <w:spacing w:after="0" w:line="221" w:lineRule="exact"/>
        <w:rPr>
          <w:rFonts w:ascii="Times New Roman" w:cs="Times New Roman" w:eastAsia="Times New Roman" w:hAnsi="Times New Roman"/>
          <w:sz w:val="18"/>
          <w:szCs w:val="18"/>
          <w:u w:val="single" w:color="auto"/>
          <w:color w:val="0000EE"/>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rFonts w:ascii="Times New Roman" w:cs="Times New Roman" w:eastAsia="Times New Roman" w:hAnsi="Times New Roman"/>
          <w:sz w:val="18"/>
          <w:szCs w:val="18"/>
          <w:u w:val="single" w:color="auto"/>
          <w:color w:val="0000EE"/>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ZW Data Action Technologies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2026</w:t>
            </w:r>
          </w:p>
        </w:tc>
        <w:tc>
          <w:tcPr>
            <w:tcW w:w="28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Handong Cheng</w:t>
            </w:r>
          </w:p>
        </w:tc>
      </w:tr>
      <w:tr>
        <w:trPr>
          <w:trHeight w:val="191"/>
        </w:trPr>
        <w:tc>
          <w:tcPr>
            <w:tcW w:w="3660" w:type="dxa"/>
            <w:vAlign w:val="bottom"/>
          </w:tcPr>
          <w:p>
            <w:pPr>
              <w:spacing w:after="0"/>
              <w:rPr>
                <w:sz w:val="16"/>
                <w:szCs w:val="16"/>
                <w:color w:val="auto"/>
              </w:rPr>
            </w:pPr>
          </w:p>
        </w:tc>
        <w:tc>
          <w:tcPr>
            <w:tcW w:w="286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Handong Cheng</w:t>
            </w:r>
          </w:p>
        </w:tc>
      </w:tr>
      <w:tr>
        <w:trPr>
          <w:trHeight w:val="234"/>
        </w:trPr>
        <w:tc>
          <w:tcPr>
            <w:tcW w:w="3660" w:type="dxa"/>
            <w:vAlign w:val="bottom"/>
          </w:tcPr>
          <w:p>
            <w:pPr>
              <w:spacing w:after="0"/>
              <w:rPr>
                <w:sz w:val="20"/>
                <w:szCs w:val="20"/>
                <w:color w:val="auto"/>
              </w:rPr>
            </w:pPr>
          </w:p>
        </w:tc>
        <w:tc>
          <w:tcPr>
            <w:tcW w:w="28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2026</w:t>
            </w:r>
          </w:p>
        </w:tc>
        <w:tc>
          <w:tcPr>
            <w:tcW w:w="28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Handong Cheng</w:t>
            </w:r>
          </w:p>
        </w:tc>
      </w:tr>
      <w:tr>
        <w:trPr>
          <w:trHeight w:val="191"/>
        </w:trPr>
        <w:tc>
          <w:tcPr>
            <w:tcW w:w="3660" w:type="dxa"/>
            <w:vAlign w:val="bottom"/>
          </w:tcPr>
          <w:p>
            <w:pPr>
              <w:spacing w:after="0"/>
              <w:rPr>
                <w:sz w:val="16"/>
                <w:szCs w:val="16"/>
                <w:color w:val="auto"/>
              </w:rPr>
            </w:pPr>
          </w:p>
        </w:tc>
        <w:tc>
          <w:tcPr>
            <w:tcW w:w="286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Handong Cheng</w:t>
            </w:r>
          </w:p>
        </w:tc>
      </w:tr>
      <w:tr>
        <w:trPr>
          <w:trHeight w:val="216"/>
        </w:trPr>
        <w:tc>
          <w:tcPr>
            <w:tcW w:w="3660" w:type="dxa"/>
            <w:vAlign w:val="bottom"/>
          </w:tcPr>
          <w:p>
            <w:pPr>
              <w:spacing w:after="0"/>
              <w:rPr>
                <w:sz w:val="18"/>
                <w:szCs w:val="18"/>
                <w:color w:val="auto"/>
              </w:rPr>
            </w:pPr>
          </w:p>
        </w:tc>
        <w:tc>
          <w:tcPr>
            <w:tcW w:w="28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Acting Chief Financial</w:t>
            </w:r>
          </w:p>
        </w:tc>
      </w:tr>
      <w:tr>
        <w:trPr>
          <w:trHeight w:val="216"/>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16"/>
        </w:trPr>
        <w:tc>
          <w:tcPr>
            <w:tcW w:w="36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tc>
      </w:tr>
      <w:tr>
        <w:trPr>
          <w:trHeight w:val="234"/>
        </w:trPr>
        <w:tc>
          <w:tcPr>
            <w:tcW w:w="3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98"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Kai Chu</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Kai Chu</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Zhiqing Chen</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Zhiqing Chen</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Chung Wang Yiu (Ron)</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 Chung Ho</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Chang Qiu</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Changhua Qiu</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Fernando Chen I-Ting</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Fernando Chen I-Ting</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Tam</w:t>
            </w:r>
          </w:p>
        </w:tc>
      </w:tr>
      <w:tr>
        <w:trPr>
          <w:trHeight w:val="191"/>
        </w:trPr>
        <w:tc>
          <w:tcPr>
            <w:tcW w:w="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Justin Tam</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2">
            <w:col w:w="4920" w:space="720"/>
            <w:col w:w="5600"/>
          </w:cols>
          <w:pgMar w:left="320" w:top="576"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94" w:name="page95"/>
    <w:bookmarkEnd w:id="9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PCAOB had historically been unable to inspect our auditor in relation to their audit work performed for our financial statements and the inability of the PCAOB to conduct inspections over our auditor has deprived our investors with the benefits of such inspections.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2024.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5" w:name="page96"/>
    <w:bookmarkEnd w:id="95"/>
    <w:p>
      <w:pPr>
        <w:jc w:val="both"/>
        <w:spacing w:after="0" w:line="261"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1177290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color w:val="auto"/>
                <w:w w:val="90"/>
              </w:rPr>
              <w:t>Pages</w:t>
            </w:r>
          </w:p>
        </w:tc>
      </w:tr>
      <w:tr>
        <w:trPr>
          <w:trHeight w:val="20"/>
        </w:trPr>
        <w:tc>
          <w:tcPr>
            <w:tcW w:w="3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3299)</w:t>
            </w:r>
          </w:p>
        </w:tc>
        <w:tc>
          <w:tcPr>
            <w:tcW w:w="35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color w:val="0000EE"/>
                <w:w w:val="95"/>
              </w:rPr>
              <w:t xml:space="preserve">F-1 </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EE"/>
                <w:w w:val="95"/>
              </w:rPr>
              <w:t xml:space="preserve"> F-3</w:t>
            </w:r>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1020" w:type="dxa"/>
            <w:vAlign w:val="bottom"/>
          </w:tcPr>
          <w:p>
            <w:pPr>
              <w:spacing w:after="0"/>
              <w:rPr>
                <w:sz w:val="24"/>
                <w:szCs w:val="24"/>
                <w:color w:val="auto"/>
              </w:rPr>
            </w:pPr>
          </w:p>
        </w:tc>
        <w:tc>
          <w:tcPr>
            <w:tcW w:w="35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7"/>
              </w:rPr>
              <w:t>F-4</w:t>
            </w:r>
          </w:p>
        </w:tc>
        <w:tc>
          <w:tcPr>
            <w:tcW w:w="7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F-5</w:t>
            </w:r>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8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2025 and 2024</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7"/>
              </w:rPr>
              <w:t>F-6</w:t>
            </w:r>
          </w:p>
        </w:tc>
        <w:tc>
          <w:tcPr>
            <w:tcW w:w="7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F-7</w:t>
            </w:r>
          </w:p>
        </w:tc>
      </w:tr>
      <w:tr>
        <w:trPr>
          <w:trHeight w:val="20"/>
        </w:trPr>
        <w:tc>
          <w:tcPr>
            <w:tcW w:w="316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8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7"/>
              </w:rPr>
              <w:t>F-8</w:t>
            </w:r>
          </w:p>
        </w:tc>
        <w:tc>
          <w:tcPr>
            <w:tcW w:w="7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F-9</w:t>
            </w:r>
          </w:p>
        </w:tc>
      </w:tr>
      <w:tr>
        <w:trPr>
          <w:trHeight w:val="20"/>
        </w:trPr>
        <w:tc>
          <w:tcPr>
            <w:tcW w:w="316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2025 and 2024</w:t>
            </w:r>
          </w:p>
        </w:tc>
        <w:tc>
          <w:tcPr>
            <w:tcW w:w="22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7"/>
          </w:tcPr>
          <w:p>
            <w:pPr>
              <w:jc w:val="center"/>
              <w:ind w:right="480"/>
              <w:spacing w:after="0"/>
              <w:rPr>
                <w:sz w:val="20"/>
                <w:szCs w:val="20"/>
                <w:color w:val="auto"/>
              </w:rPr>
            </w:pPr>
            <w:r>
              <w:rPr>
                <w:rFonts w:ascii="Times New Roman" w:cs="Times New Roman" w:eastAsia="Times New Roman" w:hAnsi="Times New Roman"/>
                <w:sz w:val="18"/>
                <w:szCs w:val="18"/>
                <w:color w:val="0000EE"/>
                <w:w w:val="99"/>
              </w:rPr>
              <w:t>F-10</w:t>
            </w:r>
          </w:p>
        </w:tc>
      </w:tr>
      <w:tr>
        <w:trPr>
          <w:trHeight w:val="20"/>
        </w:trPr>
        <w:tc>
          <w:tcPr>
            <w:tcW w:w="316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6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260" w:type="dxa"/>
            <w:vAlign w:val="bottom"/>
            <w:gridSpan w:val="2"/>
          </w:tcPr>
          <w:p>
            <w:pPr>
              <w:spacing w:after="0"/>
              <w:rPr>
                <w:sz w:val="24"/>
                <w:szCs w:val="24"/>
                <w:color w:val="auto"/>
              </w:rPr>
            </w:pPr>
          </w:p>
        </w:tc>
        <w:tc>
          <w:tcPr>
            <w:tcW w:w="1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rPr>
              <w:t>F-11</w:t>
            </w: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F-42</w:t>
            </w:r>
          </w:p>
        </w:tc>
      </w:tr>
      <w:tr>
        <w:trPr>
          <w:trHeight w:val="1243"/>
        </w:trPr>
        <w:tc>
          <w:tcPr>
            <w:tcW w:w="3160" w:type="dxa"/>
            <w:vAlign w:val="bottom"/>
            <w:tcBorders>
              <w:top w:val="single" w:sz="8" w:color="0000EE"/>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97" w:name="page98"/>
    <w:bookmarkEnd w:id="97"/>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328295</wp:posOffset>
            </wp:positionH>
            <wp:positionV relativeFrom="page">
              <wp:posOffset>397510</wp:posOffset>
            </wp:positionV>
            <wp:extent cx="6900545" cy="771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6900545" cy="771525"/>
                    </a:xfrm>
                    <a:prstGeom prst="rect">
                      <a:avLst/>
                    </a:prstGeom>
                    <a:noFill/>
                  </pic:spPr>
                </pic:pic>
              </a:graphicData>
            </a:graphic>
          </wp:anchor>
        </w:drawing>
      </w:r>
    </w:p>
    <w:p>
      <w:pPr>
        <w:ind w:left="262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ZW Data Action Technologies Inc. and subsidiaries (the “Company”) as of December 31, 2024 and 2025, and the related consolidated statements of operations and comprehensive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consolidated financial position of the Company as of December 31, 2024 and 2025, and the consolidated results of its operations and its cash flows for each of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3 to the consolidated financial statements, the Company has accumulated deficit from recurring net losses and significant net operating cash outflow for the year ended December 31, 2025. All these factors raise substantial doubt about its ability to continue as a going concern. Management’s plans in regard to these matters are also discussed in Note 3 to the consolidated financial statements. These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128270</wp:posOffset>
            </wp:positionV>
            <wp:extent cx="5674995" cy="436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0">
                      <a:extLst>
                        <a:ext uri="{28A0092B-C50C-407E-A947-70E740481C1C}"/>
                      </a:extLst>
                    </a:blip>
                    <a:srcRect/>
                    <a:stretch>
                      <a:fillRect/>
                    </a:stretch>
                  </pic:blipFill>
                  <pic:spPr bwMode="auto">
                    <a:xfrm>
                      <a:off x="0" y="0"/>
                      <a:ext cx="56749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3 to the consolidated financial statements, the Company has accumulated deficit from recurring net losses and significant net operating cash outflow for the year ended December 31, 2025. Currently management’s forecasts and related assumptions illustrate their ability to meet the obligations through management of expenditures and, if necessary, obtaining additional debt financing loans from existing shareholders and private placements of capital stock for additional funding to meet its operating needs. Should there be constraints on the ability to access such financing, the Company can manage cash outflows to meet the obligations through reductions in capital expenditures and other operating expenditures.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identified management’s assessment of the Company’s ability to continue as a going concern as a critical audit matter. Management made judgments to conclude that it is probable that the Company’s plans will be effectively implemented and will provide the necessary cash flows to fund the Company’s obligations as they become due. Specifically, the judgments with the highest degree of impact and subjectivity in determining it is probable that the Company’s plans will be effectively implemented included the revenue growth and gross margin assumptions underlying its forecast operating cash flows, its ability to reduce capital expenditures and other operating expenditures, its ability to access funding from the capital market and its ability to obtaining loans from existing shareholders. Auditing the judgments made by management required a high degree of auditor judgment and an increased extent of audit effort.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the following, among others: (i) testing key assumptions underlying management’s forecast operating cash flows, including revenue growth and gross margin assumptions; (ii) evaluating the probability that the Company will be able to access funding from the capital market; (iii) evaluating the probability that the Company will be able to reduce capital expenditures and other operating expenditures if required and (iv) evaluating the probability that the Company will be able to obtain the loan from existing directors and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Assessment of allowance for current expected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4(y) to the consolidated financial statements, the Company adopted ASU No. 2016-13, Financial Instruments-Credit Losses (codified as Accounting Standard Codification Topic 326) and several associated ASUs on January 1, 2023 using a modified retrospective approach. The Company assessed that trade receivable and other current assets which primarily consisted of short-term loans the Company provided to unrelated parties are within the scope of ASC 326. 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130810</wp:posOffset>
            </wp:positionV>
            <wp:extent cx="5674995" cy="436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2">
                      <a:extLst>
                        <a:ext uri="{28A0092B-C50C-407E-A947-70E740481C1C}"/>
                      </a:extLst>
                    </a:blip>
                    <a:srcRect/>
                    <a:stretch>
                      <a:fillRect/>
                    </a:stretch>
                  </pic:blipFill>
                  <pic:spPr bwMode="auto">
                    <a:xfrm>
                      <a:off x="0" y="0"/>
                      <a:ext cx="56749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assessment of allowances for CECL as a critical audit matter due to the involvement of subjective judgment and management estimates in evaluating the CECL of the current asset items, and the significance to the Company’s consolidated financial position.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the following, among others: (i) testing the effectiveness of controls relating to the assessment of allowances for CECL and assessing management’s method for developing the allowance for doubtful accounts (credit losses); (ii) evaluating the appropriateness of the valuation model, by reviewing the valuation report and the calculation schedules prepared by the management and third party valuation specialists engaged by the Company; (iii) testing the accuracy of management’s basic input in calculating CECL including aging report, historical write-offs and recoveries, on a sample basis; (iv) engaging independent valuation specialist with specialized skills and knowledge, to evaluate the reasonableness of significant assumptions and judgments made by management to estimate the allowance for credit loss, including the Company’s assessment on significant factors, and the basis of estimated loss rates applied with reference to historical default rates and forward-looking information; (v) sending confirmations to debtors to confirm the accuracy of the basic information and terms of the loan receivables and other receivable accounts; (vi) evaluating subsequent collections occurring after the balance sheet date; and (vii) evaluating the competence, capabilities and objectivity of the professionals engaged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ARK Pro CPA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Pro CPA &amp; Co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142875</wp:posOffset>
            </wp:positionV>
            <wp:extent cx="5674995" cy="436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4">
                      <a:extLst>
                        <a:ext uri="{28A0092B-C50C-407E-A947-70E740481C1C}"/>
                      </a:extLst>
                    </a:blip>
                    <a:srcRect/>
                    <a:stretch>
                      <a:fillRect/>
                    </a:stretch>
                  </pic:blipFill>
                  <pic:spPr bwMode="auto">
                    <a:xfrm>
                      <a:off x="0" y="0"/>
                      <a:ext cx="567499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6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560" w:type="dxa"/>
            <w:vAlign w:val="bottom"/>
            <w:tcBorders>
              <w:top w:val="single" w:sz="8" w:color="auto"/>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$5,137 and $4,817 respectively</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2,239</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9,173</w:t>
            </w:r>
          </w:p>
        </w:tc>
      </w:tr>
      <w:tr>
        <w:trPr>
          <w:trHeight w:val="209"/>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net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for investment</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9,678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9,686</w:t>
            </w:r>
          </w:p>
        </w:tc>
      </w:tr>
      <w:tr>
        <w:trPr>
          <w:trHeight w:val="196"/>
        </w:trPr>
        <w:tc>
          <w:tcPr>
            <w:tcW w:w="8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from customers *</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other accruals *</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 *</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 from investors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 *</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5,072</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5,846</w:t>
            </w:r>
          </w:p>
        </w:tc>
      </w:tr>
      <w:tr>
        <w:trPr>
          <w:trHeight w:val="64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1" w:name="page102"/>
    <w:bookmarkEnd w:id="10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 $)</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borrowing from a related party</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5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5,275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5,968</w:t>
            </w:r>
          </w:p>
        </w:tc>
      </w:tr>
      <w:tr>
        <w:trPr>
          <w:trHeight w:val="197"/>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ZW Data Action Technologies Inc.’s stockholders’ equity</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8"/>
        </w:trPr>
        <w:tc>
          <w:tcPr>
            <w:tcW w:w="800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Common stock (US$0.001 par value; authorized 12,500,000 shares; issued and outstanding</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3,268,429 shares and 2,301,205 shares at December 31, 2025 and 2024, respectively)**</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Common stock to be issued</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63,102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Statutory reserves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ZW Data Action Technologies Inc.’s stockholders’ equity</w:t>
            </w:r>
          </w:p>
        </w:tc>
        <w:tc>
          <w:tcPr>
            <w:tcW w:w="3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3,658</w:t>
            </w:r>
          </w:p>
        </w:tc>
      </w:tr>
      <w:tr>
        <w:trPr>
          <w:trHeight w:val="216"/>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3,718</w:t>
            </w:r>
          </w:p>
        </w:tc>
      </w:tr>
      <w:tr>
        <w:trPr>
          <w:trHeight w:val="229"/>
        </w:trPr>
        <w:tc>
          <w:tcPr>
            <w:tcW w:w="8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9,678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9,686</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recognized as a result of consolidating the VIEs do not represent additional claims on the Company’s general assets (Note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**Retrospectively restated for effect of the 1-for-4 reverse stock split effective September 30, 2024, respectively. See Note 4(l).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2" w:name="page103"/>
    <w:bookmarkEnd w:id="102"/>
    <w:p>
      <w:pPr>
        <w:jc w:val="center"/>
        <w:ind w:left="480" w:right="2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ZW DATA ACTION TECHNOLOGIES INC. CONSOLIDATED STATEMENTS OF OPERATIONS AND COMPREHENSIVE LOSS </w:t>
      </w:r>
      <w:r>
        <w:rPr>
          <w:rFonts w:ascii="Times New Roman" w:cs="Times New Roman" w:eastAsia="Times New Roman" w:hAnsi="Times New Roman"/>
          <w:sz w:val="18"/>
          <w:szCs w:val="18"/>
          <w:color w:val="auto"/>
        </w:rPr>
        <w:t>(In thousands, except for number of shares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5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 $)</w:t>
            </w:r>
          </w:p>
        </w:tc>
      </w:tr>
      <w:tr>
        <w:trPr>
          <w:trHeight w:val="410"/>
        </w:trPr>
        <w:tc>
          <w:tcPr>
            <w:tcW w:w="5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6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14,993</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446</w:t>
            </w:r>
          </w:p>
        </w:tc>
      </w:tr>
      <w:tr>
        <w:trPr>
          <w:trHeight w:val="210"/>
        </w:trPr>
        <w:tc>
          <w:tcPr>
            <w:tcW w:w="5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3,996</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r>
      <w:tr>
        <w:trPr>
          <w:trHeight w:val="209"/>
        </w:trPr>
        <w:tc>
          <w:tcPr>
            <w:tcW w:w="54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(3,757)</w:t>
            </w:r>
          </w:p>
        </w:tc>
      </w:tr>
      <w:tr>
        <w:trPr>
          <w:trHeight w:val="216"/>
        </w:trPr>
        <w:tc>
          <w:tcPr>
            <w:tcW w:w="54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income/(expenses), net</w:t>
            </w:r>
          </w:p>
        </w:tc>
        <w:tc>
          <w:tcPr>
            <w:tcW w:w="2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10"/>
        </w:trPr>
        <w:tc>
          <w:tcPr>
            <w:tcW w:w="5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benefit/(expense) and noncontrolling interests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(3,370)</w:t>
            </w:r>
          </w:p>
        </w:tc>
      </w:tr>
      <w:tr>
        <w:trPr>
          <w:trHeight w:val="216"/>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expenses</w:t>
            </w:r>
          </w:p>
        </w:tc>
        <w:tc>
          <w:tcPr>
            <w:tcW w:w="2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(3,769)</w:t>
            </w:r>
          </w:p>
        </w:tc>
      </w:tr>
      <w:tr>
        <w:trPr>
          <w:trHeight w:val="216"/>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ZW Data Action Technologies Inc.</w:t>
            </w:r>
          </w:p>
        </w:tc>
        <w:tc>
          <w:tcPr>
            <w:tcW w:w="2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(3,761)</w:t>
            </w:r>
          </w:p>
        </w:tc>
      </w:tr>
      <w:tr>
        <w:trPr>
          <w:trHeight w:val="20"/>
        </w:trPr>
        <w:tc>
          <w:tcPr>
            <w:tcW w:w="5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45"/>
        </w:trPr>
        <w:tc>
          <w:tcPr>
            <w:tcW w:w="5400" w:type="dxa"/>
            <w:vAlign w:val="bottom"/>
          </w:tcPr>
          <w:p>
            <w:pPr>
              <w:spacing w:after="0"/>
              <w:rPr>
                <w:sz w:val="24"/>
                <w:szCs w:val="24"/>
                <w:color w:val="auto"/>
              </w:rPr>
            </w:pPr>
          </w:p>
        </w:tc>
        <w:tc>
          <w:tcPr>
            <w:tcW w:w="360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color w:val="auto"/>
              </w:rPr>
              <w:t>F-6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540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3" w:name="page104"/>
    <w:bookmarkEnd w:id="10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 $)</w:t>
            </w:r>
          </w:p>
        </w:tc>
      </w:tr>
      <w:tr>
        <w:trPr>
          <w:trHeight w:val="626"/>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translation income/(loss)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(3,636)</w:t>
            </w:r>
          </w:p>
        </w:tc>
      </w:tr>
      <w:tr>
        <w:trPr>
          <w:trHeight w:val="216"/>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loss/(income) attributable to noncontrolling interests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ZW Data Action Technologies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 **</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2,655,963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2,021,492</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**Retrospectively restated for effect of the 1-for-4 reverse stock split effective on September 30, 2024, see Note 4(l).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4" w:name="page105"/>
    <w:bookmarkEnd w:id="10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r>
      <w:tr>
        <w:trPr>
          <w:trHeight w:val="232"/>
        </w:trPr>
        <w:tc>
          <w:tcPr>
            <w:tcW w:w="8000" w:type="dxa"/>
            <w:vAlign w:val="bottom"/>
          </w:tcPr>
          <w:p>
            <w:pPr>
              <w:spacing w:after="0"/>
              <w:rPr>
                <w:sz w:val="20"/>
                <w:szCs w:val="20"/>
                <w:color w:val="auto"/>
              </w:rPr>
            </w:pPr>
          </w:p>
        </w:tc>
        <w:tc>
          <w:tcPr>
            <w:tcW w:w="9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580" w:type="dxa"/>
            <w:vAlign w:val="bottom"/>
            <w:tcBorders>
              <w:top w:val="single" w:sz="8" w:color="auto"/>
            </w:tcBorders>
          </w:tcPr>
          <w:p>
            <w:pPr>
              <w:spacing w:after="0"/>
              <w:rPr>
                <w:sz w:val="20"/>
                <w:szCs w:val="20"/>
                <w:color w:val="auto"/>
              </w:rPr>
            </w:pPr>
          </w:p>
        </w:tc>
      </w:tr>
      <w:tr>
        <w:trPr>
          <w:trHeight w:val="194"/>
        </w:trPr>
        <w:tc>
          <w:tcPr>
            <w:tcW w:w="8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of allowances for doubtful accounts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non-operating (income)/losses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from customers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(2,058)</w:t>
            </w:r>
          </w:p>
        </w:tc>
      </w:tr>
      <w:tr>
        <w:trPr>
          <w:trHeight w:val="210"/>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vehicles, furniture and office equipment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effect of deconsolidation of subsidiaries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and advances to ownership investee entities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proceeds from disposal of long-term investments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acquired during the period</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short-term loans and interest income from unrelated parties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acquisition of equity interests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Deposit for other investing contracts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895</w:t>
            </w:r>
          </w:p>
        </w:tc>
      </w:tr>
      <w:tr>
        <w:trPr>
          <w:trHeight w:val="642"/>
        </w:trPr>
        <w:tc>
          <w:tcPr>
            <w:tcW w:w="800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F-8</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05" w:name="page106"/>
    <w:bookmarkEnd w:id="10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8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 from investors</w:t>
            </w:r>
          </w:p>
        </w:tc>
        <w:tc>
          <w:tcPr>
            <w:tcW w:w="102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PIPE transactions, net of $45 of direct offering costs paid by cash</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Capital contribution from noncontrolling interest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1,145</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 on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970</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Private placement consummated during the period</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2"/>
                <w:szCs w:val="22"/>
                <w:color w:val="auto"/>
              </w:rPr>
            </w:pPr>
          </w:p>
        </w:tc>
        <w:tc>
          <w:tcPr>
            <w:tcW w:w="1000" w:type="dxa"/>
            <w:vAlign w:val="bottom"/>
            <w:gridSpan w:val="2"/>
          </w:tcPr>
          <w:p>
            <w:pPr>
              <w:jc w:val="right"/>
              <w:ind w:right="81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Unpaid direct offering cost incurred during the period</w:t>
            </w:r>
          </w:p>
        </w:tc>
        <w:tc>
          <w:tcPr>
            <w:tcW w:w="1020" w:type="dxa"/>
            <w:vAlign w:val="bottom"/>
            <w:tcBorders>
              <w:top w:val="single" w:sz="8" w:color="auto"/>
              <w:bottom w:val="single" w:sz="8" w:color="auto"/>
            </w:tcBorders>
            <w:shd w:val="clear" w:color="auto" w:fill="CCEEFF"/>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Common stock to be issued for an investment transaction consummated during the period</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ind w:right="8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9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 to be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gridSpan w:val="4"/>
            <w:vMerge w:val="continue"/>
          </w:tcPr>
          <w:p>
            <w:pPr>
              <w:spacing w:after="0"/>
              <w:rPr>
                <w:sz w:val="12"/>
                <w:szCs w:val="12"/>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8"/>
              </w:rPr>
              <w:t>Total equity</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40" w:type="dxa"/>
            <w:vAlign w:val="bottom"/>
          </w:tcPr>
          <w:p>
            <w:pPr>
              <w:spacing w:after="0"/>
              <w:rPr>
                <w:sz w:val="15"/>
                <w:szCs w:val="15"/>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04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(US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(US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(US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 $)</w:t>
            </w:r>
          </w:p>
        </w:tc>
        <w:tc>
          <w:tcPr>
            <w:tcW w:w="140" w:type="dxa"/>
            <w:vAlign w:val="bottom"/>
          </w:tcPr>
          <w:p>
            <w:pPr>
              <w:spacing w:after="0"/>
              <w:rPr>
                <w:sz w:val="12"/>
                <w:szCs w:val="12"/>
                <w:color w:val="auto"/>
              </w:rPr>
            </w:pPr>
          </w:p>
        </w:tc>
        <w:tc>
          <w:tcPr>
            <w:tcW w:w="108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 $)</w:t>
            </w: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(US $)</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(US $)</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January</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1,926,205</w:t>
            </w:r>
          </w:p>
        </w:tc>
        <w:tc>
          <w:tcPr>
            <w:tcW w:w="900" w:type="dxa"/>
            <w:vAlign w:val="bottom"/>
            <w:gridSpan w:val="2"/>
            <w:vMerge w:val="restart"/>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62,072</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2,598</w:t>
            </w:r>
          </w:p>
        </w:tc>
        <w:tc>
          <w:tcPr>
            <w:tcW w:w="26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(59,690)</w:t>
            </w:r>
          </w:p>
        </w:tc>
        <w:tc>
          <w:tcPr>
            <w:tcW w:w="28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1,272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6,254</w:t>
            </w:r>
          </w:p>
        </w:tc>
        <w:tc>
          <w:tcPr>
            <w:tcW w:w="0" w:type="dxa"/>
            <w:vAlign w:val="bottom"/>
          </w:tcPr>
          <w:p>
            <w:pPr>
              <w:spacing w:after="0"/>
              <w:rPr>
                <w:sz w:val="1"/>
                <w:szCs w:val="1"/>
                <w:color w:val="auto"/>
              </w:rPr>
            </w:pPr>
          </w:p>
        </w:tc>
      </w:tr>
      <w:tr>
        <w:trPr>
          <w:trHeight w:val="173"/>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1, 2024**</w:t>
            </w:r>
          </w:p>
        </w:tc>
        <w:tc>
          <w:tcPr>
            <w:tcW w:w="104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80" w:type="dxa"/>
            <w:vAlign w:val="bottom"/>
            <w:gridSpan w:val="3"/>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Noncontrolling</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in a</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acquired VIE</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Disposal of</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interests in VIEs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Capital</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contribution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from</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interests</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compensation in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exchange for</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services from</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employees,</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directors and</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375,000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consultants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 for the</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7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year</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26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2,301,205</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63,102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2,598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(63,451)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3,718</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2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Issuance of</w:t>
            </w: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for private</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placement, net</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US$108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 offering</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967,224</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2,245</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to</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be issued related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to an investment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transaction</w:t>
            </w: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for the</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year</w:t>
            </w: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1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26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w:t>
            </w:r>
          </w:p>
        </w:tc>
        <w:tc>
          <w:tcPr>
            <w:tcW w:w="1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3,268,429</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(65,221)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4,403</w:t>
            </w:r>
          </w:p>
        </w:tc>
        <w:tc>
          <w:tcPr>
            <w:tcW w:w="0" w:type="dxa"/>
            <w:vAlign w:val="bottom"/>
          </w:tcPr>
          <w:p>
            <w:pPr>
              <w:spacing w:after="0"/>
              <w:rPr>
                <w:sz w:val="1"/>
                <w:szCs w:val="1"/>
                <w:color w:val="auto"/>
              </w:rPr>
            </w:pPr>
          </w:p>
        </w:tc>
      </w:tr>
      <w:tr>
        <w:trPr>
          <w:trHeight w:val="160"/>
        </w:trPr>
        <w:tc>
          <w:tcPr>
            <w:tcW w:w="1260" w:type="dxa"/>
            <w:vAlign w:val="bottom"/>
            <w:tcBorders>
              <w:bottom w:val="single" w:sz="8" w:color="CCEEFF"/>
            </w:tcBorders>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left="3980" w:right="900" w:hanging="3079"/>
        <w:spacing w:after="0" w:line="532" w:lineRule="auto"/>
        <w:tabs>
          <w:tab w:leader="none" w:pos="11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the 1-for-4 reverse stock split effective on September 30, 2024, respectively. See Note 4(l). See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ZW Data Action Technologies Inc. (f/k/a ChinaNet Online Holdings,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other subsidiaries outside of mainland China,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and engages in IP licensing services. As part of an ongoing strategic shift, the Company’s operations are now primarily conducted outside mainland China.</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wholly owned subsidiary, China Net BVI was incorporated in the British Virgin Islands on August 13, 2007. On April 11, 2008, China Net BVI became the parent holding company of a group of companies comprised of CNET Online Technology Co. Limited, a Hong Kong company (“China Net HK”), which established and is the parent company of Rise King Century Technology Development (Beijing) Co., Ltd., a wholly foreign-owned enterprise (“WFOE”) established in the PRC (“Rise King WFOE”). The Company refers to the transactions that resulted in China Net BVI becoming an indirect parent company of Rise King WFOE as the “Offshore Restructuring.”</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PRC regulations prohibit direct foreign ownership of business entities providing Internet content, or ICP services in the PRC, and used to restrict foreign ownership of business entities engaging in the advertising business, which was subsequently lifted in June 2015. To satisfy PRC laws and regulations, the Company conducts certain business in the PRC through its Variable Interest Entities (“VIEs”). Through a series of contractual agreements (the “Contractual Agreements” or “VIE Agreements”) between Rise King WFOE and Business Opportunity Online (Beijing) Network Technology Co., Ltd. (“Business Opportunity Online”), Beijing CNET Online Advertising Co., Ltd. (“Beijing CNET Online”) (collectively the “PRC Operating Entities” or the “VIEs”) and its common individual owners (the “PRC Shareholders” or the “Control Group”), the Company, through Rise King WFOE, secures significant rights to influence the PRC Operating Entities’ business operations, policies and management, approve all matters requiring shareholder approval, and the right to receive the income earned by the PRC Operating Entities. In return, Rise King WFOE provides consulting services to the PRC Operating Entities. In addition, to ensure that the PRC Operating Entities and the PRC Shareholders perform their obligations under the Contractual Arrangements, the PRC Shareholders have pledged all of their equity interests in the PRC Operating Entities to Rise King WFOE. They also entered into an option agreement with Rise King WFOE which provides that at such time as when the restrictions under PRC law on foreign ownership of Chinese companies engaging in the Internet content, information services or advertising business in China are lifted, Rise King WFOE may exercise its option to purchase the equity interests in the PRC Operating Entities, directly.</w:t>
      </w:r>
    </w:p>
    <w:p>
      <w:pPr>
        <w:spacing w:after="0" w:line="187"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these Contractual Agreements, Rise King WFOE has the power to direct activities of the PRC Operating Entities that most significantly impact the economic performance of the PRC Operating Entities and the obligation to absorb the losses and the right to receive benefits of the PRC Operating Entities that could potentially be significant to the PRC Operating Entities in a manner that does not violate the related PRC laws. As such, Rise King WFOE is deemed to be the primary beneficiary of the PRC Operating Entities, or the VIEs, that are parties to the relevant VIE agreements, for accounting purposes only, which serves the purpose of consolidating the VIEs’ operating results in the preparation of the Company’s consolidated financial statements in accordance with the provisions of FASB Accounting Standards Codification ("ASC") Topic 810 “Consolidation”, subtopic 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60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Company’s consolidated subsidiaries, VIEs and VIEs’ subsidiaries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Place and date of</w:t>
            </w:r>
          </w:p>
        </w:tc>
        <w:tc>
          <w:tcPr>
            <w:tcW w:w="2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legal</w:t>
            </w: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 of the entity</w:t>
            </w:r>
          </w:p>
        </w:tc>
        <w:tc>
          <w:tcPr>
            <w:tcW w:w="200" w:type="dxa"/>
            <w:vAlign w:val="bottom"/>
          </w:tcPr>
          <w:p>
            <w:pPr>
              <w:spacing w:after="0"/>
              <w:rPr>
                <w:sz w:val="20"/>
                <w:szCs w:val="20"/>
                <w:color w:val="auto"/>
              </w:rPr>
            </w:pPr>
          </w:p>
        </w:tc>
        <w:tc>
          <w:tcPr>
            <w:tcW w:w="22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2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200" w:type="dxa"/>
            <w:vAlign w:val="bottom"/>
          </w:tcPr>
          <w:p>
            <w:pPr>
              <w:spacing w:after="0"/>
              <w:rPr>
                <w:sz w:val="20"/>
                <w:szCs w:val="20"/>
                <w:color w:val="auto"/>
              </w:rPr>
            </w:pPr>
          </w:p>
        </w:tc>
        <w:tc>
          <w:tcPr>
            <w:tcW w:w="2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Principal activities</w:t>
            </w:r>
          </w:p>
        </w:tc>
        <w:tc>
          <w:tcPr>
            <w:tcW w:w="0" w:type="dxa"/>
            <w:vAlign w:val="bottom"/>
          </w:tcPr>
          <w:p>
            <w:pPr>
              <w:spacing w:after="0"/>
              <w:rPr>
                <w:sz w:val="1"/>
                <w:szCs w:val="1"/>
                <w:color w:val="auto"/>
              </w:rPr>
            </w:pPr>
          </w:p>
        </w:tc>
      </w:tr>
      <w:tr>
        <w:trPr>
          <w:trHeight w:val="38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Subsidiaries:</w:t>
            </w: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 Net Online Media Group</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British Virgin Islands</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(“China Net BVI”)</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13, 2007</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CNET Online Technology Co.</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Hong Kong, PRC</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Limited (“China Net HK”)</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4, 2007</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ChinaNet Investment Holding</w:t>
            </w:r>
          </w:p>
        </w:tc>
        <w:tc>
          <w:tcPr>
            <w:tcW w:w="200" w:type="dxa"/>
            <w:vAlign w:val="bottom"/>
            <w:shd w:val="clear" w:color="auto" w:fill="CCEEFF"/>
          </w:tcPr>
          <w:p>
            <w:pPr>
              <w:spacing w:after="0"/>
              <w:rPr>
                <w:sz w:val="17"/>
                <w:szCs w:val="17"/>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108"/>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(“ChinaNet Investment</w:t>
            </w:r>
          </w:p>
        </w:tc>
        <w:tc>
          <w:tcPr>
            <w:tcW w:w="20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12, 2015</w:t>
            </w: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BVI”)</w:t>
            </w:r>
          </w:p>
        </w:tc>
        <w:tc>
          <w:tcPr>
            <w:tcW w:w="200" w:type="dxa"/>
            <w:vAlign w:val="bottom"/>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Cnet Technology (HK) Limited,</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formerly known as Rahula</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Licensing Services</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Media (HK) Limited</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23, 2024</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(“Rahula”)</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Shenzhen Shangye Consulting</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Intellectual Property</w:t>
            </w: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Co., Ltd.</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17, 2023</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Licensing Services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Grandon Investments Limited</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(“Grandon BVI”)</w:t>
            </w:r>
          </w:p>
        </w:tc>
        <w:tc>
          <w:tcPr>
            <w:tcW w:w="200" w:type="dxa"/>
            <w:vAlign w:val="bottom"/>
            <w:shd w:val="clear" w:color="auto" w:fill="CCEEFF"/>
          </w:tcPr>
          <w:p>
            <w:pPr>
              <w:spacing w:after="0"/>
              <w:rPr>
                <w:sz w:val="18"/>
                <w:szCs w:val="18"/>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British Virgin Islands</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providing e-commerce</w:t>
            </w:r>
          </w:p>
        </w:tc>
        <w:tc>
          <w:tcPr>
            <w:tcW w:w="0" w:type="dxa"/>
            <w:vAlign w:val="bottom"/>
          </w:tcPr>
          <w:p>
            <w:pPr>
              <w:spacing w:after="0"/>
              <w:rPr>
                <w:sz w:val="1"/>
                <w:szCs w:val="1"/>
                <w:color w:val="auto"/>
              </w:rPr>
            </w:pPr>
          </w:p>
        </w:tc>
      </w:tr>
      <w:tr>
        <w:trPr>
          <w:trHeight w:val="108"/>
        </w:trPr>
        <w:tc>
          <w:tcPr>
            <w:tcW w:w="4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services and</w:t>
            </w:r>
          </w:p>
        </w:tc>
        <w:tc>
          <w:tcPr>
            <w:tcW w:w="0" w:type="dxa"/>
            <w:vAlign w:val="bottom"/>
          </w:tcPr>
          <w:p>
            <w:pPr>
              <w:spacing w:after="0"/>
              <w:rPr>
                <w:sz w:val="1"/>
                <w:szCs w:val="1"/>
                <w:color w:val="auto"/>
              </w:rPr>
            </w:pPr>
          </w:p>
        </w:tc>
      </w:tr>
      <w:tr>
        <w:trPr>
          <w:trHeight w:val="108"/>
        </w:trPr>
        <w:tc>
          <w:tcPr>
            <w:tcW w:w="4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13, 2006</w:t>
            </w: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blockchain-based SaaS</w:t>
            </w:r>
          </w:p>
        </w:tc>
        <w:tc>
          <w:tcPr>
            <w:tcW w:w="0" w:type="dxa"/>
            <w:vAlign w:val="bottom"/>
          </w:tcPr>
          <w:p>
            <w:pPr>
              <w:spacing w:after="0"/>
              <w:rPr>
                <w:sz w:val="1"/>
                <w:szCs w:val="1"/>
                <w:color w:val="auto"/>
              </w:rPr>
            </w:pPr>
          </w:p>
        </w:tc>
      </w:tr>
      <w:tr>
        <w:trPr>
          <w:trHeight w:val="90"/>
        </w:trPr>
        <w:tc>
          <w:tcPr>
            <w:tcW w:w="4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238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Rise King Century Technology</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(Beijing) Co., Ltd.</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providing advertising,</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(“Rise King WFOE”)</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17, 2008</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marketing and related</w:t>
            </w: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ChinaNet Online Holdings Co.,</w:t>
            </w:r>
          </w:p>
        </w:tc>
        <w:tc>
          <w:tcPr>
            <w:tcW w:w="200" w:type="dxa"/>
            <w:vAlign w:val="bottom"/>
            <w:shd w:val="clear" w:color="auto" w:fill="CCEEFF"/>
          </w:tcPr>
          <w:p>
            <w:pPr>
              <w:spacing w:after="0"/>
              <w:rPr>
                <w:sz w:val="17"/>
                <w:szCs w:val="17"/>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108"/>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(“ChinaNet Online</w:t>
            </w:r>
          </w:p>
        </w:tc>
        <w:tc>
          <w:tcPr>
            <w:tcW w:w="20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31, 2015</w:t>
            </w: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w:t>
            </w:r>
          </w:p>
        </w:tc>
        <w:tc>
          <w:tcPr>
            <w:tcW w:w="200" w:type="dxa"/>
            <w:vAlign w:val="bottom"/>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ChinaNet Online (Guangdong)</w:t>
            </w:r>
          </w:p>
        </w:tc>
        <w:tc>
          <w:tcPr>
            <w:tcW w:w="200" w:type="dxa"/>
            <w:vAlign w:val="bottom"/>
            <w:shd w:val="clear" w:color="auto" w:fill="CCEEFF"/>
          </w:tcPr>
          <w:p>
            <w:pPr>
              <w:spacing w:after="0"/>
              <w:rPr>
                <w:sz w:val="17"/>
                <w:szCs w:val="17"/>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108"/>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 Co., Ltd. (“ChinaNet</w:t>
            </w:r>
          </w:p>
        </w:tc>
        <w:tc>
          <w:tcPr>
            <w:tcW w:w="20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12, 2021</w:t>
            </w: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Guangdong Holdings”)</w:t>
            </w:r>
          </w:p>
        </w:tc>
        <w:tc>
          <w:tcPr>
            <w:tcW w:w="200" w:type="dxa"/>
            <w:vAlign w:val="bottom"/>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CNET Technology Limited</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British Virgin Islands</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(“CNET Technology”)</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13, 2025</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Cnet SEA Limited (“Cnet SEA”)</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Samoa</w:t>
            </w: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21, 2025</w:t>
            </w: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CNET Media (HK) Limited</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Investment holding company,</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providing advertising,</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5, 2025</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marketing and related</w:t>
            </w:r>
          </w:p>
        </w:tc>
        <w:tc>
          <w:tcPr>
            <w:tcW w:w="0" w:type="dxa"/>
            <w:vAlign w:val="bottom"/>
          </w:tcPr>
          <w:p>
            <w:pPr>
              <w:spacing w:after="0"/>
              <w:rPr>
                <w:sz w:val="1"/>
                <w:szCs w:val="1"/>
                <w:color w:val="auto"/>
              </w:rPr>
            </w:pPr>
          </w:p>
        </w:tc>
      </w:tr>
      <w:tr>
        <w:trPr>
          <w:trHeight w:val="234"/>
        </w:trPr>
        <w:tc>
          <w:tcPr>
            <w:tcW w:w="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391"/>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VIEs:</w:t>
            </w: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Business Opportunity Online</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Consolidated VIE</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Providing online advertising,</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Network Technology</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precision marketing and the</w:t>
            </w: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Co., Ltd. (“Business Opportunity</w:t>
            </w:r>
          </w:p>
        </w:tc>
        <w:tc>
          <w:tcPr>
            <w:tcW w:w="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8, 2004</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data services</w:t>
            </w:r>
          </w:p>
        </w:tc>
        <w:tc>
          <w:tcPr>
            <w:tcW w:w="0" w:type="dxa"/>
            <w:vAlign w:val="bottom"/>
          </w:tcPr>
          <w:p>
            <w:pPr>
              <w:spacing w:after="0"/>
              <w:rPr>
                <w:sz w:val="1"/>
                <w:szCs w:val="1"/>
                <w:color w:val="auto"/>
              </w:rPr>
            </w:pPr>
          </w:p>
        </w:tc>
      </w:tr>
      <w:tr>
        <w:trPr>
          <w:trHeight w:val="234"/>
        </w:trPr>
        <w:tc>
          <w:tcPr>
            <w:tcW w:w="2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w:t>
            </w:r>
          </w:p>
        </w:tc>
        <w:tc>
          <w:tcPr>
            <w:tcW w:w="2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CNET Online</w:t>
            </w:r>
          </w:p>
        </w:tc>
        <w:tc>
          <w:tcPr>
            <w:tcW w:w="200" w:type="dxa"/>
            <w:vAlign w:val="bottom"/>
            <w:shd w:val="clear" w:color="auto" w:fill="CCEEFF"/>
          </w:tcPr>
          <w:p>
            <w:pPr>
              <w:spacing w:after="0"/>
              <w:rPr>
                <w:sz w:val="17"/>
                <w:szCs w:val="17"/>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Consolidated VIE</w:t>
            </w:r>
          </w:p>
        </w:tc>
        <w:tc>
          <w:tcPr>
            <w:tcW w:w="23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Providing advertising,</w:t>
            </w:r>
          </w:p>
        </w:tc>
        <w:tc>
          <w:tcPr>
            <w:tcW w:w="0" w:type="dxa"/>
            <w:vAlign w:val="bottom"/>
          </w:tcPr>
          <w:p>
            <w:pPr>
              <w:spacing w:after="0"/>
              <w:rPr>
                <w:sz w:val="1"/>
                <w:szCs w:val="1"/>
                <w:color w:val="auto"/>
              </w:rPr>
            </w:pPr>
          </w:p>
        </w:tc>
      </w:tr>
      <w:tr>
        <w:trPr>
          <w:trHeight w:val="108"/>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Co., Ltd. (“Beijing</w:t>
            </w:r>
          </w:p>
        </w:tc>
        <w:tc>
          <w:tcPr>
            <w:tcW w:w="200" w:type="dxa"/>
            <w:vAlign w:val="bottom"/>
            <w:shd w:val="clear" w:color="auto" w:fill="CCEEFF"/>
          </w:tcPr>
          <w:p>
            <w:pPr>
              <w:spacing w:after="0"/>
              <w:rPr>
                <w:sz w:val="9"/>
                <w:szCs w:val="9"/>
                <w:color w:val="auto"/>
              </w:rPr>
            </w:pPr>
          </w:p>
        </w:tc>
        <w:tc>
          <w:tcPr>
            <w:tcW w:w="220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marketing and related value-</w:t>
            </w: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27, 2003</w:t>
            </w: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CNET Online”)</w:t>
            </w:r>
          </w:p>
        </w:tc>
        <w:tc>
          <w:tcPr>
            <w:tcW w:w="200" w:type="dxa"/>
            <w:vAlign w:val="bottom"/>
            <w:shd w:val="clear" w:color="auto" w:fill="CCEEFF"/>
          </w:tcPr>
          <w:p>
            <w:pPr>
              <w:spacing w:after="0"/>
              <w:rPr>
                <w:sz w:val="10"/>
                <w:szCs w:val="10"/>
                <w:color w:val="auto"/>
              </w:rPr>
            </w:pPr>
          </w:p>
        </w:tc>
        <w:tc>
          <w:tcPr>
            <w:tcW w:w="2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23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added services</w:t>
            </w: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39"/>
          </w:cols>
          <w:pgMar w:left="820" w:top="121" w:right="1440" w:bottom="580" w:gutter="0" w:footer="0" w:header="0"/>
        </w:sectPr>
      </w:pPr>
    </w:p>
    <w:p>
      <w:pPr>
        <w:spacing w:after="0" w:line="2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93345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121" w:right="1440" w:bottom="580" w:gutter="0" w:footer="0" w:header="0"/>
          <w:type w:val="continuous"/>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i w:val="1"/>
          <w:iCs w:val="1"/>
          <w:u w:val="single" w:color="auto"/>
          <w:color w:val="auto"/>
        </w:rPr>
        <w:t xml:space="preserve"> subsidiaries:</w:t>
      </w:r>
    </w:p>
    <w:p>
      <w:pPr>
        <w:spacing w:after="0" w:line="23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Chuang Fu Tian Xia</w:t>
            </w:r>
          </w:p>
        </w:tc>
        <w:tc>
          <w:tcPr>
            <w:tcW w:w="2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23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VIE’s subsidiary</w:t>
            </w: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Providing online advertising,</w:t>
            </w:r>
          </w:p>
        </w:tc>
        <w:tc>
          <w:tcPr>
            <w:tcW w:w="0" w:type="dxa"/>
            <w:vAlign w:val="bottom"/>
          </w:tcPr>
          <w:p>
            <w:pPr>
              <w:spacing w:after="0"/>
              <w:rPr>
                <w:sz w:val="1"/>
                <w:szCs w:val="1"/>
                <w:color w:val="auto"/>
              </w:rPr>
            </w:pPr>
          </w:p>
        </w:tc>
      </w:tr>
      <w:tr>
        <w:trPr>
          <w:trHeight w:val="108"/>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Network Technology Co., Ltd.</w:t>
            </w:r>
          </w:p>
        </w:tc>
        <w:tc>
          <w:tcPr>
            <w:tcW w:w="2160" w:type="dxa"/>
            <w:vAlign w:val="bottom"/>
            <w:vMerge w:val="continue"/>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25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precision marketing and the</w:t>
            </w: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CCEEFF"/>
          </w:tcPr>
          <w:p>
            <w:pPr>
              <w:spacing w:after="0"/>
              <w:rPr>
                <w:sz w:val="9"/>
                <w:szCs w:val="9"/>
                <w:color w:val="auto"/>
              </w:rPr>
            </w:pPr>
          </w:p>
        </w:tc>
        <w:tc>
          <w:tcPr>
            <w:tcW w:w="2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March 1, 2011</w:t>
            </w:r>
          </w:p>
        </w:tc>
        <w:tc>
          <w:tcPr>
            <w:tcW w:w="2380" w:type="dxa"/>
            <w:vAlign w:val="bottom"/>
            <w:shd w:val="clear" w:color="auto" w:fill="CCEEFF"/>
          </w:tcPr>
          <w:p>
            <w:pPr>
              <w:spacing w:after="0"/>
              <w:rPr>
                <w:sz w:val="9"/>
                <w:szCs w:val="9"/>
                <w:color w:val="auto"/>
              </w:rPr>
            </w:pPr>
          </w:p>
        </w:tc>
        <w:tc>
          <w:tcPr>
            <w:tcW w:w="2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Chuang Fu Tian Xia”)</w:t>
            </w:r>
          </w:p>
        </w:tc>
        <w:tc>
          <w:tcPr>
            <w:tcW w:w="2160" w:type="dxa"/>
            <w:vAlign w:val="bottom"/>
            <w:vMerge w:val="continue"/>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5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data services</w:t>
            </w: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2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Business Opportunity Online</w:t>
            </w:r>
          </w:p>
        </w:tc>
        <w:tc>
          <w:tcPr>
            <w:tcW w:w="2160" w:type="dxa"/>
            <w:vAlign w:val="bottom"/>
            <w:shd w:val="clear" w:color="auto" w:fill="CCEEFF"/>
          </w:tcPr>
          <w:p>
            <w:pPr>
              <w:spacing w:after="0"/>
              <w:rPr>
                <w:sz w:val="17"/>
                <w:szCs w:val="17"/>
                <w:color w:val="auto"/>
              </w:rPr>
            </w:pPr>
          </w:p>
        </w:tc>
        <w:tc>
          <w:tcPr>
            <w:tcW w:w="2380" w:type="dxa"/>
            <w:vAlign w:val="bottom"/>
            <w:shd w:val="clear" w:color="auto" w:fill="CCEEFF"/>
          </w:tcPr>
          <w:p>
            <w:pPr>
              <w:ind w:left="820"/>
              <w:spacing w:after="0" w:line="198" w:lineRule="exact"/>
              <w:rPr>
                <w:sz w:val="20"/>
                <w:szCs w:val="20"/>
                <w:color w:val="auto"/>
              </w:rPr>
            </w:pPr>
            <w:r>
              <w:rPr>
                <w:rFonts w:ascii="Times New Roman" w:cs="Times New Roman" w:eastAsia="Times New Roman" w:hAnsi="Times New Roman"/>
                <w:sz w:val="18"/>
                <w:szCs w:val="18"/>
                <w:color w:val="auto"/>
              </w:rPr>
              <w:t>VIE’s subsidiary</w:t>
            </w:r>
          </w:p>
        </w:tc>
        <w:tc>
          <w:tcPr>
            <w:tcW w:w="2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Providing online advertising,</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(Hubei) Network Technology</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2380" w:type="dxa"/>
            <w:vAlign w:val="bottom"/>
            <w:shd w:val="clear" w:color="auto" w:fill="CCEEFF"/>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precision marketing and the</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 Ltd. (“Business Opportunity</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January 28, 2011</w:t>
            </w:r>
          </w:p>
        </w:tc>
        <w:tc>
          <w:tcPr>
            <w:tcW w:w="2380" w:type="dxa"/>
            <w:vAlign w:val="bottom"/>
            <w:shd w:val="clear" w:color="auto" w:fill="CCEEFF"/>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data services</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Hubei”)</w:t>
            </w:r>
          </w:p>
        </w:tc>
        <w:tc>
          <w:tcPr>
            <w:tcW w:w="2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ChinaNet Online (Guangdong)</w:t>
            </w:r>
          </w:p>
        </w:tc>
        <w:tc>
          <w:tcPr>
            <w:tcW w:w="2160" w:type="dxa"/>
            <w:vAlign w:val="bottom"/>
            <w:shd w:val="clear" w:color="auto" w:fill="CCEEFF"/>
          </w:tcPr>
          <w:p>
            <w:pPr>
              <w:spacing w:after="0"/>
              <w:rPr>
                <w:sz w:val="17"/>
                <w:szCs w:val="17"/>
                <w:color w:val="auto"/>
              </w:rPr>
            </w:pPr>
          </w:p>
        </w:tc>
        <w:tc>
          <w:tcPr>
            <w:tcW w:w="2380" w:type="dxa"/>
            <w:vAlign w:val="bottom"/>
            <w:shd w:val="clear" w:color="auto" w:fill="CCEEFF"/>
          </w:tcPr>
          <w:p>
            <w:pPr>
              <w:ind w:left="820"/>
              <w:spacing w:after="0" w:line="198" w:lineRule="exact"/>
              <w:rPr>
                <w:sz w:val="20"/>
                <w:szCs w:val="20"/>
                <w:color w:val="auto"/>
              </w:rPr>
            </w:pPr>
            <w:r>
              <w:rPr>
                <w:rFonts w:ascii="Times New Roman" w:cs="Times New Roman" w:eastAsia="Times New Roman" w:hAnsi="Times New Roman"/>
                <w:sz w:val="18"/>
                <w:szCs w:val="18"/>
                <w:color w:val="auto"/>
              </w:rPr>
              <w:t>VIE’s subsidiary</w:t>
            </w:r>
          </w:p>
        </w:tc>
        <w:tc>
          <w:tcPr>
            <w:tcW w:w="2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Developing and operating</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PRC</w:t>
            </w:r>
          </w:p>
        </w:tc>
        <w:tc>
          <w:tcPr>
            <w:tcW w:w="2380" w:type="dxa"/>
            <w:vAlign w:val="bottom"/>
            <w:shd w:val="clear" w:color="auto" w:fill="CCEEFF"/>
          </w:tcPr>
          <w:p>
            <w:pPr>
              <w:spacing w:after="0"/>
              <w:rPr>
                <w:sz w:val="18"/>
                <w:szCs w:val="18"/>
                <w:color w:val="auto"/>
              </w:rPr>
            </w:pP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blockchain technology-based</w:t>
            </w:r>
          </w:p>
        </w:tc>
        <w:tc>
          <w:tcPr>
            <w:tcW w:w="0" w:type="dxa"/>
            <w:vAlign w:val="bottom"/>
          </w:tcPr>
          <w:p>
            <w:pPr>
              <w:spacing w:after="0"/>
              <w:rPr>
                <w:sz w:val="1"/>
                <w:szCs w:val="1"/>
                <w:color w:val="auto"/>
              </w:rPr>
            </w:pPr>
          </w:p>
        </w:tc>
      </w:tr>
      <w:tr>
        <w:trPr>
          <w:trHeight w:val="108"/>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(“ChinaNet Online Guangdong</w:t>
            </w:r>
          </w:p>
        </w:tc>
        <w:tc>
          <w:tcPr>
            <w:tcW w:w="2160" w:type="dxa"/>
            <w:vAlign w:val="bottom"/>
            <w:vMerge w:val="continue"/>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25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products and services, and</w:t>
            </w: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CCEEFF"/>
          </w:tcPr>
          <w:p>
            <w:pPr>
              <w:spacing w:after="0"/>
              <w:rPr>
                <w:sz w:val="9"/>
                <w:szCs w:val="9"/>
                <w:color w:val="auto"/>
              </w:rPr>
            </w:pPr>
          </w:p>
        </w:tc>
        <w:tc>
          <w:tcPr>
            <w:tcW w:w="2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26, 2020</w:t>
            </w:r>
          </w:p>
        </w:tc>
        <w:tc>
          <w:tcPr>
            <w:tcW w:w="2380" w:type="dxa"/>
            <w:vAlign w:val="bottom"/>
            <w:shd w:val="clear" w:color="auto" w:fill="CCEEFF"/>
          </w:tcPr>
          <w:p>
            <w:pPr>
              <w:spacing w:after="0"/>
              <w:rPr>
                <w:sz w:val="9"/>
                <w:szCs w:val="9"/>
                <w:color w:val="auto"/>
              </w:rPr>
            </w:pPr>
          </w:p>
        </w:tc>
        <w:tc>
          <w:tcPr>
            <w:tcW w:w="25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60" w:type="dxa"/>
            <w:vAlign w:val="bottom"/>
            <w:vMerge w:val="continue"/>
            <w:shd w:val="clear" w:color="auto" w:fill="CCEEFF"/>
          </w:tcPr>
          <w:p>
            <w:pPr>
              <w:spacing w:after="0"/>
              <w:rPr>
                <w:sz w:val="10"/>
                <w:szCs w:val="10"/>
                <w:color w:val="auto"/>
              </w:rPr>
            </w:pPr>
          </w:p>
        </w:tc>
        <w:tc>
          <w:tcPr>
            <w:tcW w:w="2380" w:type="dxa"/>
            <w:vAlign w:val="bottom"/>
            <w:shd w:val="clear" w:color="auto" w:fill="CCEEFF"/>
          </w:tcPr>
          <w:p>
            <w:pPr>
              <w:spacing w:after="0"/>
              <w:rPr>
                <w:sz w:val="10"/>
                <w:szCs w:val="10"/>
                <w:color w:val="auto"/>
              </w:rPr>
            </w:pPr>
          </w:p>
        </w:tc>
        <w:tc>
          <w:tcPr>
            <w:tcW w:w="25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related value-added</w:t>
            </w:r>
          </w:p>
        </w:tc>
        <w:tc>
          <w:tcPr>
            <w:tcW w:w="0" w:type="dxa"/>
            <w:vAlign w:val="bottom"/>
          </w:tcPr>
          <w:p>
            <w:pPr>
              <w:spacing w:after="0"/>
              <w:rPr>
                <w:sz w:val="1"/>
                <w:szCs w:val="1"/>
                <w:color w:val="auto"/>
              </w:rPr>
            </w:pPr>
          </w:p>
        </w:tc>
      </w:tr>
      <w:tr>
        <w:trPr>
          <w:trHeight w:val="90"/>
        </w:trPr>
        <w:tc>
          <w:tcPr>
            <w:tcW w:w="2480" w:type="dxa"/>
            <w:vAlign w:val="bottom"/>
            <w:vMerge w:val="continue"/>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2380" w:type="dxa"/>
            <w:vAlign w:val="bottom"/>
            <w:shd w:val="clear" w:color="auto" w:fill="CCEEFF"/>
          </w:tcPr>
          <w:p>
            <w:pPr>
              <w:spacing w:after="0"/>
              <w:rPr>
                <w:sz w:val="7"/>
                <w:szCs w:val="7"/>
                <w:color w:val="auto"/>
              </w:rPr>
            </w:pPr>
          </w:p>
        </w:tc>
        <w:tc>
          <w:tcPr>
            <w:tcW w:w="25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Guangzhou Zhongtian Hexin</w:t>
            </w:r>
          </w:p>
        </w:tc>
        <w:tc>
          <w:tcPr>
            <w:tcW w:w="21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PRC</w:t>
            </w:r>
          </w:p>
        </w:tc>
        <w:tc>
          <w:tcPr>
            <w:tcW w:w="2380" w:type="dxa"/>
            <w:vAlign w:val="bottom"/>
            <w:shd w:val="clear" w:color="auto" w:fill="CCEEFF"/>
          </w:tcPr>
          <w:p>
            <w:pPr>
              <w:ind w:left="820"/>
              <w:spacing w:after="0" w:line="198" w:lineRule="exact"/>
              <w:rPr>
                <w:sz w:val="20"/>
                <w:szCs w:val="20"/>
                <w:color w:val="auto"/>
              </w:rPr>
            </w:pPr>
            <w:r>
              <w:rPr>
                <w:rFonts w:ascii="Times New Roman" w:cs="Times New Roman" w:eastAsia="Times New Roman" w:hAnsi="Times New Roman"/>
                <w:sz w:val="18"/>
                <w:szCs w:val="18"/>
                <w:color w:val="auto"/>
              </w:rPr>
              <w:t>VIE’s subsidiary</w:t>
            </w:r>
          </w:p>
        </w:tc>
        <w:tc>
          <w:tcPr>
            <w:tcW w:w="25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Distribution of health and</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Xibao Technology Co., Ltd.</w:t>
            </w:r>
          </w:p>
        </w:tc>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April 23, 2024</w:t>
            </w:r>
          </w:p>
        </w:tc>
        <w:tc>
          <w:tcPr>
            <w:tcW w:w="2380" w:type="dxa"/>
            <w:vAlign w:val="bottom"/>
            <w:shd w:val="clear" w:color="auto" w:fill="CCEEFF"/>
          </w:tcPr>
          <w:p>
            <w:pPr>
              <w:spacing w:after="0"/>
              <w:rPr>
                <w:sz w:val="20"/>
                <w:szCs w:val="20"/>
                <w:color w:val="auto"/>
              </w:rPr>
            </w:pPr>
          </w:p>
        </w:tc>
        <w:tc>
          <w:tcPr>
            <w:tcW w:w="2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wellness related products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rFonts w:ascii="Times New Roman" w:cs="Times New Roman" w:eastAsia="Times New Roman" w:hAnsi="Times New Roman"/>
          <w:sz w:val="18"/>
          <w:szCs w:val="18"/>
          <w:b w:val="1"/>
          <w:bCs w:val="1"/>
          <w:color w:val="auto"/>
        </w:rPr>
      </w:pPr>
    </w:p>
    <w:p>
      <w:pPr>
        <w:ind w:left="500" w:right="980"/>
        <w:spacing w:after="0" w:line="49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satisfy PRC laws and regulations, the Company conducts certain business in the PRC through its Variable Interest Entities (“VIEs”). The significant terms of the Company’s VIE Agreements are summarized below:</w:t>
      </w:r>
    </w:p>
    <w:p>
      <w:pPr>
        <w:spacing w:after="0" w:line="1"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Exclusive Business Cooperation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Exclusive Business Cooperation Agreements entered into by and between Rise 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WFOE and each of the PRC Operating Entities, Rise King WFOE has the exclusive right to provide to the PRC Operating Entities complete technical support, business support and related consulting services during the term of these agreements, which includes but is not limited to technical services, business consultations, equipment or property leasing, marketing consultancy system integration, product research and development, and system maintenance. In exchange for such services, each PRC Operating Entity has agreed to pay a service fee consisting of a management fee and a fee for services provided, to Rise King WFOE, which shall be determined by Rise King WFOE according to the following factors: the complexity and difficulty of the services, seniority of and time consumed by the employees, specific contents, scope and value of the services, market price of the same type of services, and operation conditions of the PRC Operating Entities. Each agreement shall remain effective unless terminated in accordance with the provisions thereof or terminated in writing by Rise King WFOE.</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Exclusive Option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Exclusive Option Agreements entered into by and among Rise King WFOE, each of the PRC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irrevocably granted to Rise King WFOE or its designated person an exclusive option to purchase, to the extent permitted by PRC law, a portion or all of their respective equity interest in any PRC Operating Entities for a purchase price of RMB 10, or a purchase price to be adjusted to be in compliance with applicable PRC laws and regulations. Rise King WFOE, or its designated person, has the sole discretion to decide when to exercise the option, whether in part or in full. Each of these agreements shall become effective upon execution and remain effective until all equity interests held by the relevant PRC Shareholder(s) in the PRC Operating Entities have been transferred or assigned to Rise King WFOE and/or any other person designated by Rise King WFOE.</w:t>
      </w:r>
    </w:p>
    <w:p>
      <w:pPr>
        <w:spacing w:after="0" w:line="182"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Pledge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Equity Pledge Agreements entered into by and among Rise King WFOE, the PRC Operating Entities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PRC Shareholders, the PRC Shareholders pledged all of their equity interests in the PRC Operating Entities to guarantee the PRC Operating Entities’ and the PRC Shareholders’ performance of the relevant obligations under the Exclusive Business Cooperation Agreements and other Contractual Agreements. If the PRC Operating Entities or any of the PRC Shareholders breaches its/his/her respective contractual obligations under these agreements, or upon the occurrence of one of the events regarded as an event of default under each such agreement, Rise King WFOE, as pledgee, will be entitled to certain rights, including the right to dispose of the pledged equity interests. The PRC Shareholders of the PRC Operating Entities agreed not to dispose of the pledged equity interests or take any actions that would prejudice Rise King WFOE's interest, and to notify Rise King WFOE of any events or upon receipt of any notices which may affect Rise King WFOE's interest in the pledge. Each of the equity pledge agreements will be valid until all the obligations under the Exclusive Business Cooperation Agreements and other Contractual Agreements have been fulfilled, including the service fee payments related to the Exclusive Business Cooperation Agreement are paid in full.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50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Irrevocable Powers of Attorney: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Shareholders have each executed an irrevocable power of attorney to appoint Rise King WFOE as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attorneys-in-fact to vote on their behalf on all PRC Operating Entities matters requiring shareholder approval. The term of each power of attorney is valid so long as such shareholder is a shareholder of the respective PRC Operating Entity.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these VIE Agreements, the Company through its wholly-owned subsidiary, Rise King WFOE, was granted with unconstrained decision making rights and power over key strategic and operational functions that would significantly impact the PRC Operating Entities or the VIEs’ economic performance, which includes, but is not limited to, the development and execution of the overall business strategy; important and material decision making; decision making for merger and acquisition targets and execution of merger and acquisition plans; business partnership strategy development and execution; government liaison; operation management and review; and human resources recruitment and compensation and incentive strategy development and execution. Rise King WFOE also provides comprehensive services to the VIEs for their daily operations, such as operational technical support, office automation technical support, accounting support, general administration support and technical support for products and services. As a result of the Exclusive Business Cooperation Agreements, the Equity Pledge Agreements and the Exclusive Option Agreements, Rise King WFOE has the obligation to absorb the losses and the right to receive benefits of the VIEs that could potentially be significant to the VIEs. Rise King WFOE is deemed to be the primary beneficiary of the PRC Operating Entities, or the VIEs, that are parties to the relevant VIE agreements, for accounting purposes only, which serves the purpose of consolidating the VIEs’ operating results in the preparation of the Company’s consolidated financial statements under the U.S. GAAP.</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PRC legal counsel, as of the date hereof, the Company’s current contractual arrangements with the VIEs and their respective shareholders are valid, binding and enforceable. However, there exist substantial uncertainties and risks regarding regulations and their potential effect on the Company’s VIE structure and contractual arrangements.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of the PRC approved the Foreign Investment Law, which came into effect on January 1, 2020.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the Company’s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the Company may face substantial uncertainties as to whether it can complete such actions in a timely manner, or at all. Failure to take timely and appropriate measures to cope with any of these or similar regulatory compliance challenges could materially and adversely affect the Company’s current corporate structure, corporate governance and business operations.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these contractual arrangements may not be as effective in providing the Company with control over the VIEs as would direct ownership. Due to its VIE structure, the Company has to rely on contractual rights to effect control and management of the VIEs, which exposes it to the risk of potential breach of contract by the shareholders of the VIEs for a number of reasons. For example, their interests as shareholders of the VIEs and the interests of the Company may conflict, and the Company may fail to resolve such conflicts; the shareholders may believe that breaching the contracts will lead to greater economic benefit for them; or the shareholders may otherwise act in bad faith. If any of the foregoing were to happen, the Company may have to rely on legal or arbitral proceedings to enforce its contractual rights, including specific performance or injunctive relief, and claiming damages. Such arbitral and legal proceedings may cost substantial financial and other resources, and result in a disruption of its business, and the Company cannot assure that the outcome will be in its favor. In addition, as all of these contractual arrangements are governed by PRC law and provide for the resolution of disputes through either arbitration or litigation in the PRC, they would be interpreted in accordance with PRC law and any disputes would be resolved in accordance with PRC legal procedures. The legal environment in the PRC is not as developed as in other jurisdictions, such as the United States. As a result, uncertainties in the PRC legal system could further limit the Company’s ability to enforce these contractual arrangements. Furthermore, these contracts may not be enforceable in China if PRC government authorities or courts take a view that such contracts contravene PRC laws and regulations or are otherwise not enforceable for public policy reasons. In the event that the Company is unable to enforce any of these agreements, the Company would not be able to exert effective control over the affected VIEs and consequently, the results of operations, assets and liabilities of the affected VIEs and their subsidiaries would not be included in the Company's consolidated financial statements. If such were the case, the Company's cash flows, financial position and operating performance would be materially adversely affected.</w:t>
      </w:r>
    </w:p>
    <w:p>
      <w:pPr>
        <w:spacing w:after="0" w:line="19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As of the date hereof, to the best knowledge of the Company and its directors and management, the Company’s VIE agreements have not been tested in a court of law in the PRC and may not be effective in providing control over the VIEs as would direct equity ownership.</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below is the information related to the VIEs’ assets and liabilities reported in the Company’s consolidated balance sheets as of</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December 31, 2025 and 2024, respectively:</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6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1,249</w:t>
            </w:r>
          </w:p>
        </w:tc>
      </w:tr>
      <w:tr>
        <w:trPr>
          <w:trHeight w:val="216"/>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1,334</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r>
      <w:tr>
        <w:trPr>
          <w:trHeight w:val="21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 payment liabilities related to short-term leases</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r>
      <w:tr>
        <w:trPr>
          <w:trHeight w:val="216"/>
        </w:trPr>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3,663</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Liabilities recognized as a result of consolidating the VIEs do not represent additional claims on the Company’s general assets.</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Summarized below is the information related to the financial performance of the VIEs reported in the Company’s consolidated statements of operations and comprehensive loss for the years ended December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spacing w:after="0"/>
              <w:rPr>
                <w:sz w:val="18"/>
                <w:szCs w:val="18"/>
                <w:color w:val="auto"/>
              </w:rPr>
            </w:pPr>
          </w:p>
        </w:tc>
      </w:tr>
      <w:tr>
        <w:trPr>
          <w:trHeight w:val="232"/>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200" w:type="dxa"/>
            <w:vAlign w:val="bottom"/>
          </w:tcPr>
          <w:p>
            <w:pPr>
              <w:spacing w:after="0"/>
              <w:rPr>
                <w:sz w:val="20"/>
                <w:szCs w:val="20"/>
                <w:color w:val="auto"/>
              </w:rPr>
            </w:pPr>
          </w:p>
        </w:tc>
      </w:tr>
      <w:tr>
        <w:trPr>
          <w:trHeight w:val="194"/>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0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9,909</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w:t>
            </w: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allocation to noncontrolling interests</w:t>
            </w:r>
          </w:p>
        </w:tc>
        <w:tc>
          <w:tcPr>
            <w:tcW w:w="1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2,301</w:t>
            </w:r>
          </w:p>
        </w:tc>
        <w:tc>
          <w:tcPr>
            <w:tcW w:w="12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1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 and going concern evaluation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2025 and 2024, the Company incurred a loss from operations of approximately US$1.95 million and US$3.76 million, respectively. Net operating cash outflow for the years ended December 31, 2025 and 2024 was approximately US$0.93 million and US$2.06 million, respectively. As of December 31, 2025, the Company had cash and cash equivalents of approximately US$0.97 million and working capital of US$2.48 million.</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experienced decreased revenue but increased gross profit margin for the year ended December 31, 2025. The decreased in revenue was primarily attributable to the winding down of our distribution of the right to use search engine marketing service in the PRC but the improvement in gross profit margin is due to increased revenue in our higher margin internet advertising and related marketing services and IP services.</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current core business is to provide advertising and marketing services to small and medium enterprises (“SMEs”), which is particularly sensitive to changes in general economic conditions. However, as we wind down our search engine marketing distribution service in the PRC, we are seeing an improvement in our gross margins as well as significantly reduced operating expenses that will improve our cash flow and liquidity in the next 12 months.</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in order to further develop our core business, i.e., our Internet advertising and related data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Group and its intellectual property has enabled us to establish our IP services business segment. We generate revenue by licensing the intellectual property acquired through Rahula Group to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spacing w:after="0" w:line="195"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17, 2025, CNET Technology Limited ("CNET Technology"), a wholly-owned subsidiary of ZW Data Action Technologies Inc. (the “Company”) in the British Virgin Islands, entered into a purchase agreement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obtained the Titans Equity Interests on October 21, 2025; however, as of the date of this report, the Company has not yet issued the 200,000 shares of common stock to the Sellers and the closing of the transaction has not yet taken place. Titans is principally engaged in providing digital marketing and advertising services.</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28, 2025, CNET Technology, a wholly-owned subsidiary of the Company in the British Virgin Islands, entered into a purchase agreement (the “Acquisition Agreement”) with Fun Star Group INC., a British Virgin Islands company (“Fun Star”) and Modest Attack Limited, a British Virgin Islands company (“Modest”), pursuant to which Fun Star will sell its 9.9% equity interests in Modest (the “ Modest Equity Interests”) to CNET Technology. In consideration for the Modest Equity Interests, CNET Technology shall pay to Fun Star $625,000 in cash and cause the Company to issue 150,000 shares of common stock of the Company, having a total value of $375,000 and valued at $2.50 per share, to Fun Star. The closing of the acquisition is subject to customary terms and conditions as set forth in the Acquisition Agreement. Modest is principally engaged in providing consulting and technology development services related to the tokenization of real-world assets, including token economics design, blockchain platform development, ecosystem infrastructure support, and digital asset monitoring and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equity financing; (3) we plan to reduce our operating costs through optimizing the personnel structure among different offices and reduce our office leasing spaces, if needed. This may incur incremental costs related to employee layoff compensation and contract termination penalty.</w:t>
      </w:r>
    </w:p>
    <w:p>
      <w:pPr>
        <w:spacing w:after="0" w:line="183"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spacing w:after="0" w:line="189"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as of December 31, 2025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December 31, 2025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spacing w:after="0" w:line="212"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are prepared and presented in accordance with generally accepted accounting principles in the United States of America (“U.S. GAAP”).</w:t>
      </w:r>
    </w:p>
    <w:p>
      <w:pPr>
        <w:spacing w:after="0" w:line="15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all the subsidiaries and VIEs of the Company. All transactions and balances between the Company and its subsidiaries and VIEs have been eliminated upon consolidation.</w:t>
      </w:r>
    </w:p>
    <w:p>
      <w:pPr>
        <w:spacing w:after="0" w:line="15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spacing w:after="0" w:line="183"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conducts substantially all of its operations through its PRC operating subsidiaries and VIEs, PRC is the primary economic environment in which the Company operates. For financial reporting purposes, the financial statements of the Company’s PRC operating subsidiaries and VIEs, which are prepared using the functional currency of the PRC, Renminbi (“RMB”), are translated into the Company’s reporting currency, the United States Dollar (“U.S. dollar”). Assets and liabilities are translated using the exchange rate at each balance sheet date. Revenue and expenses are translated using average rates prevailing during each reporting period, and stockholders’ equity is translated at historical exchange rates. Adjustments resulting from the translation are recorded as a separate component of accumulated other comprehensive income in stockholders’ equity.</w:t>
      </w:r>
    </w:p>
    <w:p>
      <w:pPr>
        <w:spacing w:after="0" w:line="18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translated into the functional currency at the exchange rates prevailing at the dates of the transactions. The resulting exchange differences are included in the determination of net loss of the consolidated statements of operations and comprehensive loss for the respective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exchange rates used to translate amounts in RMB into US$ for the purposes of preparing the consolidated financial statements are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1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10"/>
        </w:trPr>
        <w:tc>
          <w:tcPr>
            <w:tcW w:w="6400" w:type="dxa"/>
            <w:vAlign w:val="bottom"/>
          </w:tcPr>
          <w:p>
            <w:pPr>
              <w:spacing w:after="0"/>
              <w:rPr>
                <w:sz w:val="18"/>
                <w:szCs w:val="18"/>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6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5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7.0288</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7.1884</w:t>
            </w:r>
          </w:p>
        </w:tc>
      </w:tr>
      <w:tr>
        <w:trPr>
          <w:trHeight w:val="432"/>
        </w:trPr>
        <w:tc>
          <w:tcPr>
            <w:tcW w:w="6400" w:type="dxa"/>
            <w:vAlign w:val="bottom"/>
          </w:tcPr>
          <w:p>
            <w:pPr>
              <w:spacing w:after="0"/>
              <w:rPr>
                <w:sz w:val="24"/>
                <w:szCs w:val="24"/>
                <w:color w:val="auto"/>
              </w:rPr>
            </w:pPr>
          </w:p>
        </w:tc>
        <w:tc>
          <w:tcPr>
            <w:tcW w:w="31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09"/>
        </w:trPr>
        <w:tc>
          <w:tcPr>
            <w:tcW w:w="64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operations and comprehensive loss</w:t>
            </w:r>
          </w:p>
        </w:tc>
        <w:tc>
          <w:tcPr>
            <w:tcW w:w="15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7.1429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7.1217</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representation is made that the RMB amounts could have been or could be converted into US$ at the above rates.</w:t>
      </w:r>
    </w:p>
    <w:p>
      <w:pPr>
        <w:spacing w:after="0" w:line="221"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consist of cash on hand and bank deposits. The Company considers all highly liquid investments with original maturities of three months or less at the time of purchase to be cash equivalents.</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cash is held in accounts at major financial institutions located in the U.S. and the PRC, which includes Hong Kong. As of December 31, 2025, US$0.17 million of the Company’s cash was held in accounts at financial institutions located in the U.S., and the remaining US$0.80 million was held in the accounts at financial institutions located in the PRC. The Company believes that these financial institutions are of high credit quality, all of which have participated in the federal/national deposit insurance scheme of their respective jurisdiction. The Company’s cash held in accounts at the financial institutions in the U.S. are insured by the Federal Deposit Insurance Corporation (FDIC) for up to US$0.25 million per depositor per insured bank and the cash held in accounts at the financial institutions in the PRC are insured by the Deposit Insurance Capital Corporation (DICC), a wholly-owned subsidiary of the People’s Bank of China, for up to RMB0.50 million per depositor per insured bank. The Company's cash held in accounts at financial institutions in Hong Kong are covered by the Hong Kong Deposit Protection Scheme, which provides protection of up to HK$800,000 per depositor per insured bank. The Company, its subsidiaries, VIEs and VIEs’ subsidiaries have not experienced any losses in such accounts in the U.S. and the PRC and do not believe their cash is exposed to any significant risk.</w:t>
      </w:r>
    </w:p>
    <w:p>
      <w:pPr>
        <w:spacing w:after="0" w:line="194"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cash held in accounts at the financial institutions in the PRC is in Renminbi and the Hong Kong Dollar. Renminbi is not freely convertible into other currencies. The Chinese government imposes controls on the convertibility of Renminbi into foreign currencies and, in certain cases, the remittance of currency out of China.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Foreign exchange transactions under the capital account remain subject to limitations and require approvals from, or registration with, the SAFE and other relevant Chinese governmental authorities. There is no restriction for the Company to transfer its cash held in accounts at the financial institutions located in the U.S. outside the border of the U.S.</w:t>
      </w:r>
    </w:p>
    <w:p>
      <w:pPr>
        <w:spacing w:after="0" w:line="18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Nevada holding company with operations primarily conducted in China through its PRC subsidiaries, VIEs and VIEs’ subsidiaries. The intercompany flow of funds within its organization is effected through capital contributions and intercompany loans, which requires prior approval by the delegated executive officers before execution.</w:t>
      </w:r>
    </w:p>
    <w:p>
      <w:pPr>
        <w:spacing w:after="0" w:line="176"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Company has transferred, and intends to continue to transfer, most of its cash raised from the U.S. stock market to its PRC operating entities to support their operations and expansions. The Company’s ability to pay dividends to U.S. investors may depend on receiving dividends or other distributions from its PRC subsidiaries and settlement of the amounts owed under the VIE agreements from the consolidated VIEs. The Company does not have any present plan to demand the consolidated VIEs to settle their amounts owed under the VIE agreements, or make any distribution of earnings or issue any dividends directly or indirectly to the Nevada holding company. In addition, the Company also currently does not have any plan to pay any cash dividends on its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transferred US$0.40 million in cash to our operating subsidiaries. For the year ended December 31, 2024, we transferred US$0.48 million in cash to our operating subsidiaries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our consolidated VIEs transferred US$0.09 million to our consolidated subsidiaries as repayment of loans.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2024, our consolidated VIEs transferred US$0.02 million to our consolidated subsidiaries as repayment of loans.</w:t>
      </w:r>
    </w:p>
    <w:p>
      <w:pPr>
        <w:spacing w:after="0" w:line="207"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PRC subsidiaries, the VIEs, and VIE’s subsidiaries did not transfer any cash outside of the PRC.</w:t>
      </w:r>
    </w:p>
    <w:p>
      <w:pPr>
        <w:spacing w:after="0" w:line="158"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recorded at net realizable value consisting of the carrying amount less an allowance for uncollectible accounts as needed. The allowance for doubtful accounts is the Company’s best estimate of the amount of probable credit losses in the Company’s existing accounts receivable. The Company determines the allowance based on aging data, historical collection experience, customer specific facts and economic conditions. Account balances are charged off against the allowance after all means of collection have been exhausted and the potential for recovery is considered remote. The Company did not have any off-balance-sheet credit exposure relating to its customers, suppliers or others. For the year ended December 31, 2025, the Company recorded approximately US$0.22 million of allowance for doubtful accounts against its accounts receivable. For the year ended December 31, 2024, the Company recorded approximately US$0.89 million of allowance for doubtful accounts against its accounts receivable.</w:t>
      </w:r>
    </w:p>
    <w:p>
      <w:pPr>
        <w:spacing w:after="0" w:line="18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investments in equity securities and other ownership interests (except those accounted for under the equity method of accounting or those that resulted in consolidation of the investee), i.e. investments in investee companies that are not consolidated, and over which the Company does not exercise significant influence, are accounted for in accordance with ASC Topic 321: “Investments-Equity securities”. The Company generally owns less than 20% interest in the voting securities of these investee companies. In accordance with ASC 321-10-35-2, the Company chooses to measure these investments which do not have readily determinable fair values at cost minus impairment, if any, plus or minus changes resulting from observable price changes in orderly transactions for the identical or a similar investment of the Company and records the carrying value of these investments as “Long-term investments” in the Company’s consolidated balance sheets.</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321-10-35-3, the Company writes down the carrying value of these investments to its fair value if a qualitative assessment indicates that the investment is impaired, and the fair value of the investment is less than its carrying value, as determined using the guidance in ASC 321-10-35-2.</w:t>
      </w:r>
    </w:p>
    <w:p>
      <w:pPr>
        <w:spacing w:after="0" w:line="17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2025, the Company recorded nil in impairment loss associated with its long-term investments. For the year ended December 31, 2024, the Company recorded approximately US$0.002 million impairment loss associated with its long-term investments.</w:t>
      </w:r>
    </w:p>
    <w:p>
      <w:pPr>
        <w:spacing w:after="0" w:line="15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depreciation/amortization. Depreciation/amortization is calculated on the straight-line method after taking into account their respective estimated residual values over the following estimated useful lives:</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Electronic devices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79"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Depreciation/amortization expenses of fixed assets are included in sales and marketing expenses, general and administrative expenses and research and development expenses. Leasehold improvements are amortized over the lesser of the lease term or estimated useful life.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When property and equipment are retired or otherwise disposed of, resulting gain or loss is included in net income or loss in the period of disposition. Maintenance and repairs which do not improve or extend the expected useful lives of the assets are charged to expenses as incurred, whereas the cost of renewals and betterments that extend the useful life of the assets are capitalized as additions to the related assets.</w:t>
      </w:r>
    </w:p>
    <w:p>
      <w:pPr>
        <w:spacing w:after="0" w:line="172"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cost related to internal-used software in accordance with ASC Topic 350-40 “Intangibles-Goodwill and Other-Internal-Use Software”. Internal-use software is initially recorded at cost and amortized on a straight-line basis over the estimated useful economic life of 3 to 10 years.</w:t>
      </w:r>
    </w:p>
    <w:p>
      <w:pPr>
        <w:spacing w:after="0" w:line="17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360-10-35, long-lived assets, which include tangible long-lived assets and intangible long-lived assets, are reviewed for impairment whenever events or changes in circumstances indicate that the carrying amount of an asset may not be recoverable. Recoverability of long-lived assets to be held and used is measured by a comparison of the carrying amount of the asset to the estimated undiscounted future cash flows expected to be generated by the asset. If the carrying amount of an asset exceeds its estimated future undiscounted cash flows, an impairment loss is recognized for the difference between the carrying amount of the asset and its fair value.</w:t>
      </w:r>
    </w:p>
    <w:p>
      <w:pPr>
        <w:spacing w:after="0" w:line="18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2025 and 2024, the Company recorded no impairment loss associated with its intangible assets.</w:t>
      </w:r>
    </w:p>
    <w:p>
      <w:pPr>
        <w:spacing w:after="0" w:line="22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primarily consist of cash and cash equivalents, accounts receivable, short-term loans to unrelated parties and accounts payable. The carrying values of these financial instruments approximate fair values due to their short maturities.</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Topic 820 "Fair Value Measurement and Disclosures," defines fair value as the exchange price that would be received for an asset or paid to transfer a liability (an exit price) in the principal or most advantageous market for the asset or liability in an orderly transaction between market participants on the measurement date. This topic also establishes a fair value hierarchy which requires classification based on observable and unobservable inputs when measuring fair value. There are three levels of inputs that may be used to measure fair value:</w:t>
      </w:r>
    </w:p>
    <w:p>
      <w:pPr>
        <w:spacing w:after="0" w:line="17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Determining which category an asset or liability falls within the hierarchy requires significant judgment. The Company evaluates its hierarchy disclosures each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2024, the Board of Directors of the Company approved a reverse stock split of the Company’s issued and outstanding shares of common stock, par value $0.001 per share (the “Common Stock”) at a ratio of 1-for-4 (the “Reverse Stock Split”). The Reverse Stock Split became effective on September 30, 2024 (the “Effective Date”). As a result, the number of shares of the Company’s authorized Common Stock was reduced from 50,000,000 shares to 12,500,000 shares and the issued and outstanding number of shares of the Common Stock was correspondingly decreased. The Reverse Stock Split has no effect on the par value of the Company’s Common Stock or authorized shares of preferred stock. When the Reverse Stock Split became effective, each four shares of issued and outstanding Common Stock were converted into one newly issued and outstanding share of Common Stock. No fractional shares were issued in connection with the Reverse Stock Split. Any fractional shares of Common Stock that would have otherwise resulted from the Reverse Stock Split were rounded up to the nearest full share. No cash or other consideration was paid in connection with any fractional shares that would otherwise have resulted from the Reverse Stock Split. As a result of the Reverse Stock Split, 8,704,506 shares of Common Stock that were issued and outstanding at September 30, 2024 was reduced to 2,301,205 shares of Common Stock (taking into account the rounding of fractional shares).</w:t>
      </w:r>
    </w:p>
    <w:p>
      <w:pPr>
        <w:spacing w:after="0" w:line="191"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where otherwise specified, all number of shares, number of warrants, share prices, exercise prices and per share data in the consolidated financial statements and notes to the consolidated financial statements have been retroactively restated as if the Reverse Stock Split occurred at the beginning of the periods presented.</w:t>
      </w:r>
    </w:p>
    <w:p>
      <w:pPr>
        <w:spacing w:after="0" w:line="17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Topic 606, revenues are recognized when control of the promised goods or services is transferred to the Company’s customers, in an amount that reflects the consideration the Company expects to be entitled to in exchange for those goods or services. In determining when and how much revenue is recognized from contracts with customers, the Company performs the following five-step analysis: (1) identify the contract(s) with a customer; (2) identify the performance obligations in the contract; (3) determine the transaction price; (4) allocate the transaction price to the performance obligations in the contract; (5) recognize revenue when (or as) the entity satisfies a performance obligation.</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Multiple performance obligations included in the Company’s contracts with customers are neither capable of being distinct, that is, can benefit the customer on its own or together with other readily available resources, nor is distinct within the context of the contract, that is, the promise to transfer the service separately identifiable from other promises in the contract.</w:t>
      </w:r>
    </w:p>
    <w:p>
      <w:pPr>
        <w:spacing w:after="0" w:line="17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contract with customers do not include significant financing component and any variable consideration.</w:t>
      </w:r>
    </w:p>
    <w:p>
      <w:pPr>
        <w:spacing w:after="0" w:line="225"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Advance from customers related to unsatisfied performance obligations are generally refundable. Refund of advance from customers was insignificant for both the years ended December 31, 2025 and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significant management judgements are involved in revenue recognition, but the amount and timing of the Company’s revenues could be different for any period if management made different judgments or utilized different estimates. Generally, the Company recognizes revenue under ASC Topic 606 for each type of its performance obligation either over time or at a point in time as follows: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 of the right to use search engine marketing service</w:t>
      </w:r>
    </w:p>
    <w:p>
      <w:pPr>
        <w:spacing w:after="0" w:line="22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Revenue from distribution of the right to use search engine marketing service is recognized on a monthly basis based on the direct cost consumed through search engines for providing such services with a premium (“over time”). The Company recognizes the revenue on a gross basis, because the Company determines that it is a principal in the transaction who control the goods or services before they are transferred to the customers.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Internet advertising and related marketing service</w:t>
      </w:r>
    </w:p>
    <w:p>
      <w:pPr>
        <w:spacing w:after="0" w:line="22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For our internet advertising and related marketing service during the year ended December 31, 2025, we primarily provided influencer marketing services and digital marketing services to our clients. Revenues related to our influencer marketing services and digital marketing services are recognized based on when the marketing service is completed and accepted by our clients. The Company recognizes the revenue on a gross basis, because the Company determines that it is a principal in the transaction who control the goods or services before they are transferred to the customers.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IP Services</w:t>
      </w:r>
    </w:p>
    <w:p>
      <w:pPr>
        <w:spacing w:after="0" w:line="227"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For our IP services during the year ended December 31, 2025, we licensed intellectual property acquired from Rahula to our clients. Revenues related to our IP services are recognized over time for the term of the agreement. The customer simultaneously receives and consumes the benefits of the licensed intellectual property over the term of the agreement. The Company recognizes the revenue on a gross basis, because the Company determines that it is a principal in the transaction who control the goods or services before they are transferred to the customers.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Blockchain-based SaaS services</w:t>
      </w:r>
    </w:p>
    <w:p>
      <w:pPr>
        <w:spacing w:after="0" w:line="227"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The Company develops blockchain enabled web/mobile applications and provides Software-as-a-Service (“SaaS”) services for clients. We also purchase and sell mobile applications with blockchain functionalities. Fixed periodical subscription fee revenues for the use of the Company’s Blockchain Integrated Framework (“BIF”) platform are recognized ratably on a monthly basis over the period of the subscription service (“over time”). Revenues related to the Non-fungible Token (“NFT”) generation service provided through the BIF platform are recognized based on a fixed price per NFT generation, when a NFT is generated, delivered and accepted by customers (“point in time”). Revenue from the purchase and sale of mobile applications is recognized when the deliverables are delivered and accepted by customers. The Company recognizes the revenue on a gross basis, because the Company determines that it is a principal in the transaction who control the goods or services before they are transferred to the customers.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Company’s revenues disaggregated by products and services and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the right to use search engine marketing service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9,909</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data service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4,780</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IP Services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1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15,439</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29"/>
        </w:trPr>
        <w:tc>
          <w:tcPr>
            <w:tcW w:w="5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F-22</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9" w:name="page120"/>
    <w:bookmarkEnd w:id="119"/>
    <w:p>
      <w:pPr>
        <w:jc w:val="center"/>
        <w:ind w:right="50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19685</wp:posOffset>
            </wp:positionV>
            <wp:extent cx="2117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 w:lineRule="exact"/>
        <w:rPr>
          <w:sz w:val="20"/>
          <w:szCs w:val="20"/>
          <w:color w:val="auto"/>
        </w:rPr>
      </w:pPr>
    </w:p>
    <w:p>
      <w:pPr>
        <w:ind w:left="6780"/>
        <w:spacing w:after="0"/>
        <w:tabs>
          <w:tab w:leader="none" w:pos="84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170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280" w:val="left"/>
        </w:tabs>
        <w:rPr>
          <w:sz w:val="20"/>
          <w:szCs w:val="20"/>
          <w:color w:val="auto"/>
        </w:rPr>
      </w:pPr>
      <w:r>
        <w:rPr>
          <w:rFonts w:ascii="Times New Roman" w:cs="Times New Roman" w:eastAsia="Times New Roman" w:hAnsi="Times New Roman"/>
          <w:sz w:val="18"/>
          <w:szCs w:val="18"/>
          <w:b w:val="1"/>
          <w:bCs w:val="1"/>
          <w:color w:val="auto"/>
        </w:rPr>
        <w:t>US$(’000)</w:t>
      </w:r>
      <w:r>
        <w:rPr>
          <w:sz w:val="20"/>
          <w:szCs w:val="20"/>
          <w:color w:val="auto"/>
        </w:rPr>
        <w:tab/>
      </w:r>
      <w:r>
        <w:rPr>
          <w:rFonts w:ascii="Times New Roman" w:cs="Times New Roman" w:eastAsia="Times New Roman" w:hAnsi="Times New Roman"/>
          <w:sz w:val="17"/>
          <w:szCs w:val="17"/>
          <w:b w:val="1"/>
          <w:bCs w:val="1"/>
          <w:color w:val="auto"/>
        </w:rPr>
        <w:t>US$(’000)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9,909</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5,530</w:t>
            </w: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15,439</w:t>
            </w:r>
          </w:p>
        </w:tc>
      </w:tr>
      <w:tr>
        <w:trPr>
          <w:trHeight w:val="20"/>
        </w:trPr>
        <w:tc>
          <w:tcPr>
            <w:tcW w:w="6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did not have any significant incremental costs of obtaining contracts with customers incurred and/or costs incurred in fulfilling contracts with customers, that shall be recognized as an asset and amortized to expenses in a pattern that matches the timing of the revenue recognition of the related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evaluates overall economic conditions, its working capital status and customer specific credit and negotiates the payment terms of a contract with individual customer on a case-by-case basis in its normal course of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received from customers related to unsatisfied performance obligations are recoded as contract liabilities (advance from customers), which will be realized as revenues upon the satisfaction of performance obligations through the transfer of related promised goods and services to customers.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contracts without a full or any advance payments required, the Company bills the customers any unpaid contract price immediately upon satisfaction of the related performance obligations when revenue is recognized.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contract assets (unbilled receivables) since revenue is recognized when control of the promised goods or services is transferred and the payment from customers is not contingent on a future event.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 liabilities primarily consist of advance from customers related to unsatisfied performance obligations in relation to online advertising placement service and distribution of the right to use search engine marketing service. All contract liabilities are expected to be recognized as revenue within one year. The table below summarized the movement of the Company’s contract liabilities for the two years ended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r>
      <w:tr>
        <w:trPr>
          <w:trHeight w:val="232"/>
        </w:trPr>
        <w:tc>
          <w:tcPr>
            <w:tcW w:w="792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79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Exchange translation adjustment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contract liability balance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Advances received from customers related to unsatisfied performance obligations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Exchange translation adjustment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contract liability balance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Advances received from customers related to unsatisfied performance obligations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10"/>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522</w:t>
            </w:r>
          </w:p>
        </w:tc>
      </w:tr>
      <w:tr>
        <w:trPr>
          <w:trHeight w:val="20"/>
        </w:trPr>
        <w:tc>
          <w:tcPr>
            <w:tcW w:w="7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For the years ended December 31, 2025 and 2024, there is no revenue recognized from performance obligations that were satisfied in prior periods.</w:t>
      </w:r>
    </w:p>
    <w:p>
      <w:pPr>
        <w:spacing w:after="0" w:line="23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practical expedient in paragraph ASC Topic 606-10-50-14 and did not disclose the information related to transaction price allocated to the performance obligations that are unsatisfied or partially unsatisfied as of December 31, 2025 and 2024, because all performance obligations of the Company’s contracts with customers have an original expected duration of one year or less.</w:t>
      </w:r>
    </w:p>
    <w:p>
      <w:pPr>
        <w:spacing w:after="0" w:line="172"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primarily includes the cost of Internet and other forms of advertising resources and related technical services purchased from third parties, amortization of software platform development cost, amortization of intellectual property and other direct cost associated with providing services.</w:t>
      </w:r>
    </w:p>
    <w:p>
      <w:pPr>
        <w:spacing w:after="0" w:line="17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expenses for the enhancement, maintenance and technical support to the Company’s Internet platforms and intellectual properties that are used in its daily operations in research and development expenses. Research and development costs are charged to expense when incurred. Expenses for research and development for the years ended December 31, 2025 and 2024, were nil.</w:t>
      </w:r>
    </w:p>
    <w:p>
      <w:pPr>
        <w:spacing w:after="0" w:line="171"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spaces from unrelated parties in its normal course of business. Other than these office spaces lease contracts, the Company does not have any other contract that is or contains a lease under ASC Topic 842.</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lease contracts do not contain any option for the Company to extend or terminate the lease, and do not contain the option for the Company to purchase the underlying assets. Based on the noncancelable lease period in the contract, the Company considers contract-based, asset-based, market-based and entity-based factors to determine the term over which it is reasonably certain to extend the lease, and then determine the lease term of each contract, which is 1-8 years. The Company’s lease contracts only contain fixed lease payments and do not contain any residual value guarantee.</w:t>
      </w:r>
    </w:p>
    <w:p>
      <w:pPr>
        <w:spacing w:after="0" w:line="183"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office lease contracts do not contain any nonlease component and are classified as operating leases in accordance with ASC Topic 842-10-25-3.</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 contracts with a duration of twelve months or less and thus met the definition of a short-term lease under ASC 842, the Company, in accordance with ASC 842-20-25-2, elected not to apply the recognition requirements (i.e. not to recognize right-of-use asset and related lease liability) to these short-term leases. Instead, the Company recognized the lease payments of these short-term leases in its consolidated statements of operations and comprehensive loss on a straight-line basis over the lease term. As of December 31, 2025 and 2024, lease payments liability related to these short-term leases was approximately nil.</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lease contracts with a duration of over twelve months, as the implicit rates of the Company leases cannot be readily determined, in accordance with ASC Topic 842-20-30-3, the Company used its incremental borrowing rate as the discount rate to determine the present value of the lease payments for each lease contract. The Company’s incremental borrowing rate was determined based on the interest rate expected to be used by the commercial banks in the PRC for long-term loans with the same maturity terms as the respective lease contracts at lease inception, if lent to the Company on a collateralized basis.</w:t>
      </w:r>
    </w:p>
    <w:p>
      <w:pPr>
        <w:spacing w:after="0" w:line="183"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operating lease right-of-use assets recognized was approximately US$0.05 million and nil, respectively. As of December 31, 2025 and 2024, total operating lease liabilities recognized was approximately US$0.05 million and nil, respectively.</w:t>
      </w:r>
    </w:p>
    <w:p>
      <w:pPr>
        <w:spacing w:after="0" w:line="15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Maturity of operating lease liabilities</w:t>
      </w:r>
    </w:p>
    <w:p>
      <w:pPr>
        <w:spacing w:after="0" w:line="229" w:lineRule="exact"/>
        <w:rPr>
          <w:rFonts w:ascii="Times New Roman" w:cs="Times New Roman" w:eastAsia="Times New Roman" w:hAnsi="Times New Roman"/>
          <w:sz w:val="18"/>
          <w:szCs w:val="18"/>
          <w:b w:val="1"/>
          <w:bCs w:val="1"/>
          <w:color w:val="auto"/>
        </w:rPr>
      </w:pPr>
    </w:p>
    <w:p>
      <w:pPr>
        <w:ind w:left="5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operating lease right-of-use assets and total operating lease liabilities recognized was approximately US$0.05 million and US$0.05 million, respectively.</w:t>
      </w:r>
    </w:p>
    <w:p>
      <w:pPr>
        <w:spacing w:after="0" w:line="16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we did not recognize any operating lease right-of-use assets and operating lease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tbl>
      <w:tblPr>
        <w:tblLayout w:type="fixed"/>
        <w:tblInd w:w="5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80" w:type="dxa"/>
            <w:vAlign w:val="bottom"/>
            <w:gridSpan w:val="8"/>
          </w:tcPr>
          <w:p>
            <w:pPr>
              <w:jc w:val="right"/>
              <w:ind w:right="1156"/>
              <w:spacing w:after="0"/>
              <w:rPr>
                <w:sz w:val="20"/>
                <w:szCs w:val="20"/>
                <w:color w:val="auto"/>
              </w:rPr>
            </w:pPr>
            <w:r>
              <w:rPr>
                <w:rFonts w:ascii="Times New Roman" w:cs="Times New Roman" w:eastAsia="Times New Roman" w:hAnsi="Times New Roman"/>
                <w:sz w:val="18"/>
                <w:szCs w:val="18"/>
                <w:color w:val="auto"/>
              </w:rPr>
              <w:t>ZW DATA ACTION TECHNOLOGIES INC.</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180" w:type="dxa"/>
            <w:vAlign w:val="bottom"/>
            <w:gridSpan w:val="8"/>
          </w:tcPr>
          <w:p>
            <w:pPr>
              <w:jc w:val="right"/>
              <w:ind w:right="576"/>
              <w:spacing w:after="0"/>
              <w:rPr>
                <w:sz w:val="20"/>
                <w:szCs w:val="20"/>
                <w:color w:val="auto"/>
              </w:rPr>
            </w:pPr>
            <w:r>
              <w:rPr>
                <w:rFonts w:ascii="Times New Roman" w:cs="Times New Roman" w:eastAsia="Times New Roman" w:hAnsi="Times New Roman"/>
                <w:sz w:val="18"/>
                <w:szCs w:val="18"/>
                <w:color w:val="auto"/>
                <w:w w:val="99"/>
              </w:rPr>
              <w:t>NOTES TO CONSOLIDATED FINANCIAL STATEMENTS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as of December 31, 2025</w:t>
            </w:r>
          </w:p>
        </w:tc>
        <w:tc>
          <w:tcPr>
            <w:tcW w:w="1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1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6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 expenses:</w:t>
            </w: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5"/>
            <w:vMerge w:val="continue"/>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9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Borders>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194"/>
        </w:trPr>
        <w:tc>
          <w:tcPr>
            <w:tcW w:w="1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contracts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Short-term operating lease contracts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w:t>
            </w:r>
          </w:p>
        </w:tc>
        <w:tc>
          <w:tcPr>
            <w:tcW w:w="0" w:type="dxa"/>
            <w:vAlign w:val="bottom"/>
          </w:tcPr>
          <w:p>
            <w:pPr>
              <w:spacing w:after="0"/>
              <w:rPr>
                <w:sz w:val="1"/>
                <w:szCs w:val="1"/>
                <w:color w:val="auto"/>
              </w:rPr>
            </w:pPr>
          </w:p>
        </w:tc>
      </w:tr>
      <w:tr>
        <w:trPr>
          <w:trHeight w:val="20"/>
        </w:trPr>
        <w:tc>
          <w:tcPr>
            <w:tcW w:w="62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 related to operating leases</w:t>
            </w: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5"/>
            <w:vMerge w:val="continue"/>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9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 (US$’000)</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 (US$’000)</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the guidance of ASC Topic 740 “Income taxes” and uses liability method to account for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Company records a valuation allowance to offset deferred tax assets, if based on the weight of available evidence, it is more-likely-than-not that some portion, or all, of the deferred tax assets will not be realized. The effect on deferred taxes of a change in tax rates is recognized in statement of operations and comprehensive loss in the period that includes the enactment date.</w:t>
      </w:r>
    </w:p>
    <w:p>
      <w:pPr>
        <w:spacing w:after="0" w:line="183"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the guidance of ASC Topic 740 “Income taxes”, which prescribes a more likely than not threshold for financial statement recognition and measurement of a tax position taken or expected to be taken in a tax return. As a result, the impact of an uncertain income tax position is recognized at the largest amount that is more-likely-than-not to be sustained upon audit by the relevant tax authority. An uncertain income tax position will not be recognized if it has less than a 50% likelihood of being sustained.</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interest on non-payment of income taxes under requirement by tax law and penalties associated with tax positions when a tax position does not meet the minimum statutory threshold to avoid payment of penalties. Interest and penalties on income taxes will be classified as a component of the provisions for income taxes. The tax returns of the Company and its subsidiaries and VIEs are subject to examination by the relevant local tax authorities. The statute of limitations related to these tax returns under different circumstances various from 3-10 years, and for PRC entities, there is no statute of limitation in the case of tax evasion. The Company did not have any material interest or penalties associated with tax positions for the years ended December 31, 2025 and 2024 and did not have any significant unrecognized uncertain tax positions as of December 31, 2025 or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 Costs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 to retirement plans (which are defined contribution plans) are charged to general and administrative expenses in the accompanying statements of operations as the related employee service are provided.</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our Hong Kong employees, the Company also evaluates long service payments to be made by the Company to its employees upon the termination of services as a defined benefit plan under post-employment benefits. The cost of providing benefits is measured using projected unit credit method with actuarial valuations to determine its present value and service cost. When the calculation results in a benefit to the Company, the recognized assets limited to lower of the present value of economic benefits available in the form of any future refunds from the plan or reductions in future contributions to the plan and the asset ceiling. The net defined benefit liabilities recognized in the statement of financial position represent the present value of the obligation under defined benefit plan minus the fair value of plan assets. The remeasurement of the net defined benefit liabilities during a period are recognized as cost of defined benefit plan during the period. For the year ended December 31, 2025, the Company did not recognize long service payments as the amount was considered immaterial.</w:t>
      </w:r>
    </w:p>
    <w:p>
      <w:pPr>
        <w:spacing w:after="0" w:line="18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 transactions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adopts ASC Topic 718 “Compensation-Stock Compensation” to account for share-based payment transactions with both employees and nonemployees, which requires that share-based payment transactions be measured based on the grant-date fair value of the instrument issued, net of an estimated forfeiture rate, if applicable, and therefore only recognizes compensation expenses for those instruments expected to vest over the requisite service period, or vesting period. Forfeitures are estimated at the time of grant and revised in the subsequent periods if actual forfeitures differ from those estimates.</w:t>
      </w:r>
    </w:p>
    <w:p>
      <w:pPr>
        <w:spacing w:after="0" w:line="183"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fully vested, nonforfeitable equity instruments granted to a nonemployee service provider at the date upon entering into the agreement (no specific performance is required by the nonemployee to retain those equity instruments), because of the elimination of any obligation on the part of the nonemployee to earn the equity instruments, the Company recognizes the instruments when they are granted (in most cases, when the agreement is entered into), the corresponding cost is recorded as a prepayment on the balance sheet, and amortized as share-based compensation expenses over the requisite service period.</w:t>
      </w:r>
    </w:p>
    <w:p>
      <w:pPr>
        <w:spacing w:after="0" w:line="17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comprehensive income (loss) in accordance with ASC Topic 220 “Comprehensive Income”, which establishes standards for reporting and displaying comprehensive income (loss) and its components in the consolidated financial statements. Comprehensive income (loss) is defined as the change in equity of a company during a period from transactions and other events and circumstances excluding transactions resulting from investments from owners and distributions to owners. Accumulated other comprehensive income, as presented in the Company’s consolidated balance sheets are the cumulative foreign currency translation adjustments.</w:t>
      </w:r>
    </w:p>
    <w:p>
      <w:pPr>
        <w:spacing w:after="0" w:line="179"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(loss) per share are calculated in accordance with ASC Topic 260, “Earnings Per Share”. Basic earnings (loss) per share is computed by dividing income (loss) attributable to common stockholders by the weighted average number of shares of common stock outstanding during the period. Diluted earnings per share reflect the potential dilution that could occur if securities or other contracts to issue common stock were exercised or converted into common stock. Common shares issuable upon the conversion of the convertible preferred shares are included in the computation of diluted earnings per share on an “if-converted” basis when the impact is dilutive. The dilutive effect of outstanding common stock warrants and options are reflected in the diluted earnings per share by application of the treasury stock method when the impact is dilutive.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 of Rahula Group</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 is not recognized in an asset acquisition. Direct transaction costs include those third-party costs that can be directly attributable to the asset acquisition and would not have been incurred absent the acquisition transaction.</w:t>
      </w:r>
    </w:p>
    <w:p>
      <w:pPr>
        <w:spacing w:after="0" w:line="18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Acquisition of Rahula Digital Media (HK) Limited.</w:t>
      </w:r>
    </w:p>
    <w:p>
      <w:pPr>
        <w:spacing w:after="0" w:line="227"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On November 24, 2025, we changed the corporate name of Rahula to Cnet Technology (HK) Limited.</w:t>
      </w:r>
    </w:p>
    <w:p>
      <w:pPr>
        <w:spacing w:after="0" w:line="191"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this transaction represented an asset acquisition as substantially all of the value was in the intellectual property intangible assets of Rahula Group.</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spacing w:after="0" w:line="187"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7, 2025, upon the Purchaser’s acquisition of the outstanding common stock of Rahula, the Rahula intangible asset balance recorded on the acquisition date and included in intangible assets was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As of March 7,</w:t>
            </w:r>
          </w:p>
        </w:tc>
      </w:tr>
      <w:tr>
        <w:trPr>
          <w:trHeight w:val="238"/>
        </w:trPr>
        <w:tc>
          <w:tcPr>
            <w:tcW w:w="7920" w:type="dxa"/>
            <w:vAlign w:val="bottom"/>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920" w:type="dxa"/>
            <w:vAlign w:val="bottom"/>
          </w:tcPr>
          <w:p>
            <w:pPr>
              <w:spacing w:after="0"/>
              <w:rPr>
                <w:sz w:val="16"/>
                <w:szCs w:val="16"/>
                <w:color w:val="auto"/>
              </w:rPr>
            </w:pPr>
          </w:p>
        </w:tc>
        <w:tc>
          <w:tcPr>
            <w:tcW w:w="16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92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Rahula Group intangible asset recorded on acquisition date:</w:t>
            </w:r>
          </w:p>
        </w:tc>
        <w:tc>
          <w:tcPr>
            <w:tcW w:w="1620" w:type="dxa"/>
            <w:vAlign w:val="bottom"/>
            <w:shd w:val="clear" w:color="auto" w:fill="CCEEFF"/>
          </w:tcPr>
          <w:p>
            <w:pPr>
              <w:spacing w:after="0"/>
              <w:rPr>
                <w:sz w:val="18"/>
                <w:szCs w:val="18"/>
                <w:color w:val="auto"/>
              </w:rPr>
            </w:pPr>
          </w:p>
        </w:tc>
      </w:tr>
      <w:tr>
        <w:trPr>
          <w:trHeight w:val="216"/>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Intangible asset acquired (a)</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7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liability generated from the Rahula asset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600</w:t>
            </w:r>
          </w:p>
        </w:tc>
      </w:tr>
      <w:tr>
        <w:trPr>
          <w:trHeight w:val="20"/>
        </w:trPr>
        <w:tc>
          <w:tcPr>
            <w:tcW w:w="7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460" w:hanging="480"/>
        <w:spacing w:after="0"/>
        <w:tabs>
          <w:tab w:leader="none" w:pos="1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intangible asset balance will be amortized over the remaining useful life of 3 years as of the March 7, 2025 acquisition date.</w:t>
      </w:r>
    </w:p>
    <w:p>
      <w:pPr>
        <w:spacing w:after="0" w:line="24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adopts ASC Topic 450 “Contingencies” subtopic 20, in determining its accruals and disclosures with respect to loss contingencies. Accordingly, estimated losses from loss contingencies are accrued by a charge to income when information available before financial statements are issued or are available to be issued indicates that it is probable that an asset had been impaired, or a liability had been incurred at the date of the financial statements and the amount of the loss can be reasonably estimated. Legal expenses associated with the contingency are expensed as incurred. If a loss contingency is not probable or reasonably estimable, disclosure of the loss contingency is made in the financial statements when it is at least reasonably possible that a material loss could be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expected credit losses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The amendments in this ASU require the measurement and recognition of expected credit losses for financial assets held at amortized cost, which replace the existing incurred loss impairment model with an expected loss methodology. The Company, as a SEC smaller reporting company, has adopted the amendments in this ASU from January 1, 2023, using a modified retrospective transition method and did not restate the related accounts in the comparable period.</w:t>
      </w:r>
    </w:p>
    <w:p>
      <w:pPr>
        <w:spacing w:after="0" w:line="183" w:lineRule="exact"/>
        <w:rPr>
          <w:rFonts w:ascii="Times New Roman" w:cs="Times New Roman" w:eastAsia="Times New Roman" w:hAnsi="Times New Roman"/>
          <w:sz w:val="18"/>
          <w:szCs w:val="18"/>
          <w:b w:val="1"/>
          <w:bCs w:val="1"/>
          <w:color w:val="auto"/>
        </w:rPr>
      </w:pPr>
    </w:p>
    <w:p>
      <w:pPr>
        <w:jc w:val="both"/>
        <w:ind w:left="50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spacing w:after="0" w:line="188"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summarized the movements of the Company’s credit losses as of December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3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6"/>
                <w:szCs w:val="16"/>
                <w:color w:val="auto"/>
              </w:rPr>
            </w:pPr>
          </w:p>
        </w:tc>
        <w:tc>
          <w:tcPr>
            <w:tcW w:w="16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for accounts receivable:</w:t>
            </w:r>
          </w:p>
        </w:tc>
        <w:tc>
          <w:tcPr>
            <w:tcW w:w="166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3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for/(reverse of) credit loss during the period</w:t>
            </w:r>
          </w:p>
        </w:tc>
        <w:tc>
          <w:tcPr>
            <w:tcW w:w="3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translation adjustments</w:t>
            </w:r>
          </w:p>
        </w:tc>
        <w:tc>
          <w:tcPr>
            <w:tcW w:w="3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end of the period</w:t>
            </w:r>
          </w:p>
        </w:tc>
        <w:tc>
          <w:tcPr>
            <w:tcW w:w="166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6"/>
                <w:szCs w:val="16"/>
                <w:color w:val="auto"/>
              </w:rPr>
            </w:pPr>
          </w:p>
        </w:tc>
        <w:tc>
          <w:tcPr>
            <w:tcW w:w="16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for other current assets:</w:t>
            </w:r>
          </w:p>
        </w:tc>
        <w:tc>
          <w:tcPr>
            <w:tcW w:w="166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3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for/(reverse of) for credit loss during the period</w:t>
            </w:r>
          </w:p>
        </w:tc>
        <w:tc>
          <w:tcPr>
            <w:tcW w:w="3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 during the period</w:t>
            </w:r>
          </w:p>
        </w:tc>
        <w:tc>
          <w:tcPr>
            <w:tcW w:w="3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translation adjustments</w:t>
            </w:r>
          </w:p>
        </w:tc>
        <w:tc>
          <w:tcPr>
            <w:tcW w:w="3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the period</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00" w:type="dxa"/>
            <w:vAlign w:val="bottom"/>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6,431</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F-28</w:t>
            </w: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All of the accounts receivable are non-interest bearing. Based on the assessment of the collectability of the accounts receivable as of December 31, 2025 and 2024, the Company provided approximately US$5.14 million and US$4.82 million allowance for doubtful accounts, respectively, which were primarily related to the accounts receivable of the Company’s Internet advertising and related services business segment with an aging over six months. The Company evaluates its accounts receivable with an aging over six months and determines the allowance based on aging data, historical collection experience, customer specific facts and economic conditions. During the years ended December 31, 2025 and 2024, approximately US$0.22 million and US$0.89 million allowance for doubtful accounts was provided, respectively.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 and deposit to suppliers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5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5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5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to advertising resources providers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advertising resources providers</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for investing activities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500" w:type="dxa"/>
            <w:vAlign w:val="bottom"/>
          </w:tcPr>
          <w:p>
            <w:pPr>
              <w:spacing w:after="0"/>
              <w:rPr>
                <w:sz w:val="19"/>
                <w:szCs w:val="19"/>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deposits and prepayments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r>
      <w:tr>
        <w:trPr>
          <w:trHeight w:val="210"/>
        </w:trPr>
        <w:tc>
          <w:tcPr>
            <w:tcW w:w="50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5,211</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4,508</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contractual deposits were primarily paid to the Company’s major Internet advertising resources suppliers and other advertising resource suppliers. The contractual deposits will be refunded to the Company upon expiration of the contracts, which are generally for a one-year period.</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According to the contracts signed between the Company and its suppliers, the Company is required to pay certain of the contract amounts in advance. These prepayments will be recognized as cost of revenues when the related services are delivered by the suppliers. As of December 31, 2025 and 2024, prepayments were primarily paid for purchasing Internet resources from the Company’s major Internet advertising resources suppliers.</w:t>
      </w:r>
    </w:p>
    <w:p>
      <w:pPr>
        <w:spacing w:after="0" w:line="180"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Deposits for investing activities as of December 31, 2024 represented deposits made to acquire businesses to help further develop and broaden our online marketing channels and reinforce our industry competitive advantage.</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Other deposits and prepayments as of December 31, 2025 and 2024 represented deposits and prepayments to the Company’s other services providers, which primarily included deposits for office lease contracts, prepayment for various kinds of professional services, etc.</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 net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0"/>
        </w:trPr>
        <w:tc>
          <w:tcPr>
            <w:tcW w:w="5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32"/>
        </w:trPr>
        <w:tc>
          <w:tcPr>
            <w:tcW w:w="50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194"/>
        </w:trPr>
        <w:tc>
          <w:tcPr>
            <w:tcW w:w="5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unrelated parties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 interest receivables</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advances for business operations</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3,752</w:t>
            </w:r>
          </w:p>
        </w:tc>
      </w:tr>
      <w:tr>
        <w:trPr>
          <w:trHeight w:val="216"/>
        </w:trPr>
        <w:tc>
          <w:tcPr>
            <w:tcW w:w="5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10"/>
        </w:trPr>
        <w:tc>
          <w:tcPr>
            <w:tcW w:w="5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 net</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830</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2,239</w:t>
            </w:r>
          </w:p>
        </w:tc>
      </w:tr>
      <w:tr>
        <w:trPr>
          <w:trHeight w:val="20"/>
        </w:trPr>
        <w:tc>
          <w:tcPr>
            <w:tcW w:w="5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provided unsecured, interest-bearing short-term loans to two unrelated parties, which were set forth as below. These short-term loans were recorded as other current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50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31, 2025, the Company agreed to further extend the term of this loan to March 31, 2026.</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 On January 9, 2026, the Company agreed to extend the loan to January 18, 2027. On March 26, 2026, the Company received payment of approximately US$0.05 million to settle outstanding interest.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year ended December 31, 2025 and 2024, the Company provided US$0.48 million and reversed US$0.05 million credit losses on short-term loans provided to unrelated parties, respectively.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other current assets also included a US$0.62 million remaining outstanding balance of a short-term loan that the Company provided to an unrelated party, Digital Sun Ventures Limited, a Hong Kong-based company (“Digital Sun”). In March 2021, the Company and Digital Sun reached an oral agreement, pursuant to which the Company provided a short-term loan of US$1.65 million to Digital Sun. The loan has a one-year term. The loan is unsecured, interest free and is required to be repaid in lump sum at maturity by March 2022. The Company provided this unsecured and interest free loan to Digital Sun in consideration of the promises and claims made by Digital Sun’s management that Digital Sun has close connections with international well-known media companies seeking for strategic cooperation partners in China, and Digital Sun will facilitate building strategic business partnerships among the Company and these media companies. As of March 31, 2022, Digital Sun had repaid US$1.03 million of this loan and defaults on the loan balance of US$0.62 million. The Company attempted to collect the outstanding loan balance. In June 2022, the Company fully allowanced the outstanding loan balance of US$0.62 million based on the Company’s assessment of the collectability of this outstanding balance. The Company had engaged a law firm and prepared and sent a legal letter to Digital Sun in March 2023, and the Company intends to take further actions to safeguard its rights against the default, including but not limited to, arranging meetings with the management of Digital Sun to negotiate the repayment plan in person and filing a lawsuit against Digital Sun after all other means of collection have been exhausted. As of the date hereof, the Company has not received any formal responses from Digital Sun.</w:t>
      </w:r>
    </w:p>
    <w:p>
      <w:pPr>
        <w:spacing w:after="0" w:line="18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121"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ZW DATA ACTION TECHNOLOGIES INC.</w:t>
            </w: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9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918"/>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w:t>
            </w:r>
          </w:p>
        </w:tc>
        <w:tc>
          <w:tcPr>
            <w:tcW w:w="2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2"/>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200" w:type="dxa"/>
            <w:vAlign w:val="bottom"/>
          </w:tcPr>
          <w:p>
            <w:pPr>
              <w:spacing w:after="0"/>
              <w:rPr>
                <w:sz w:val="20"/>
                <w:szCs w:val="20"/>
                <w:color w:val="auto"/>
              </w:rPr>
            </w:pPr>
          </w:p>
        </w:tc>
      </w:tr>
      <w:tr>
        <w:trPr>
          <w:trHeight w:val="194"/>
        </w:trPr>
        <w:tc>
          <w:tcPr>
            <w:tcW w:w="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9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during the year</w:t>
            </w: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Disposed during the year</w:t>
            </w:r>
          </w:p>
        </w:tc>
        <w:tc>
          <w:tcPr>
            <w:tcW w:w="29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losses provided during the year</w:t>
            </w:r>
          </w:p>
        </w:tc>
        <w:tc>
          <w:tcPr>
            <w:tcW w:w="29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9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2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during the year</w:t>
            </w: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Disposed during the year</w:t>
            </w:r>
          </w:p>
        </w:tc>
        <w:tc>
          <w:tcPr>
            <w:tcW w:w="29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losses provided during the year</w:t>
            </w:r>
          </w:p>
        </w:tc>
        <w:tc>
          <w:tcPr>
            <w:tcW w:w="29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9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94"/>
        </w:trPr>
        <w:tc>
          <w:tcPr>
            <w:tcW w:w="500" w:type="dxa"/>
            <w:vAlign w:val="bottom"/>
          </w:tcPr>
          <w:p>
            <w:pPr>
              <w:spacing w:after="0"/>
              <w:rPr>
                <w:sz w:val="24"/>
                <w:szCs w:val="24"/>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of December 31, 2025, except for long-term investments which were fully impaired, the Company beneficially owned a 7.69%, 9.9%, 9.9% and</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19.6% equity interest in each New Business Holdings Limited (“New Business”), Hunan Yong Fu Xiang Health Management Co., Ltd (“Yong Fu</w:t>
            </w:r>
          </w:p>
        </w:tc>
      </w:tr>
      <w:tr>
        <w:trPr>
          <w:trHeight w:val="234"/>
        </w:trPr>
        <w:tc>
          <w:tcPr>
            <w:tcW w:w="500" w:type="dxa"/>
            <w:vAlign w:val="bottom"/>
          </w:tcPr>
          <w:p>
            <w:pPr>
              <w:spacing w:after="0"/>
              <w:rPr>
                <w:sz w:val="20"/>
                <w:szCs w:val="20"/>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Xiang”), Wuhan Ju Liang Media Co., Ltd. (“Wuhan Ju Liang”) and Titans Investment Asset Holdings Limited (“Titans”), respectively.</w:t>
            </w:r>
          </w:p>
        </w:tc>
      </w:tr>
      <w:tr>
        <w:trPr>
          <w:trHeight w:val="414"/>
        </w:trPr>
        <w:tc>
          <w:tcPr>
            <w:tcW w:w="500" w:type="dxa"/>
            <w:vAlign w:val="bottom"/>
          </w:tcPr>
          <w:p>
            <w:pPr>
              <w:spacing w:after="0"/>
              <w:rPr>
                <w:sz w:val="24"/>
                <w:szCs w:val="24"/>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On September 17, 2025, CNET Technology, a wholly-owned subsidiary of ZW Data Action Technologies Inc. (the “Company”) in the British Virgin</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Islands, entered into a purchase agreement with B Ocean Capital Management Limited, a Cayman Islands company, and Oasis Management</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Consultant Limited, a Hong Kong company (collectively with B Ocean Capital Management Limited, the “Sellers”) and Titans Investment Asset</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Holdings Limited, a British Virgin Islands company (“Titans”), pursuant to which each Seller will sell its 9.80% equity interests in Titans (the</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“Titans Equity Interests”) to CNET Technology. In consideration for the Titans Equity Interests, CNET Technology shall pay to the Sellers totaling</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$300,000 in cash and cause the Company to issue 200,000 shares of common stock of the Company, having a total value of $420,000 and valued at</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$2.10 per share, to the Sellers. CNET Technology obtained the Titans Equity Interests on October 21, 2025. As of the date of this report, the</w:t>
            </w:r>
          </w:p>
        </w:tc>
      </w:tr>
      <w:tr>
        <w:trPr>
          <w:trHeight w:val="216"/>
        </w:trPr>
        <w:tc>
          <w:tcPr>
            <w:tcW w:w="500" w:type="dxa"/>
            <w:vAlign w:val="bottom"/>
          </w:tcPr>
          <w:p>
            <w:pPr>
              <w:spacing w:after="0"/>
              <w:rPr>
                <w:sz w:val="18"/>
                <w:szCs w:val="18"/>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has not yet issued the 200,000 shares of common stock to the Sellers. Titans is principally engaged in providing digital marketing and</w:t>
            </w:r>
          </w:p>
        </w:tc>
      </w:tr>
      <w:tr>
        <w:trPr>
          <w:trHeight w:val="234"/>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services.</w:t>
            </w:r>
          </w:p>
        </w:tc>
        <w:tc>
          <w:tcPr>
            <w:tcW w:w="2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 May 27, 2024, the Company sold approximately 7.69% equity interest in New Business to an unrelated party at a total consideration of</w:t>
            </w:r>
          </w:p>
        </w:tc>
      </w:tr>
      <w:tr>
        <w:trPr>
          <w:trHeight w:val="234"/>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US$0.40 million.</w:t>
            </w:r>
          </w:p>
        </w:tc>
        <w:tc>
          <w:tcPr>
            <w:tcW w:w="2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 measures each investment which does not have readily determinable fair values at cost minus impairment, if any, plus or minus</w:t>
            </w:r>
          </w:p>
        </w:tc>
      </w:tr>
      <w:tr>
        <w:trPr>
          <w:trHeight w:val="234"/>
        </w:trPr>
        <w:tc>
          <w:tcPr>
            <w:tcW w:w="500" w:type="dxa"/>
            <w:vAlign w:val="bottom"/>
          </w:tcPr>
          <w:p>
            <w:pPr>
              <w:spacing w:after="0"/>
              <w:rPr>
                <w:sz w:val="20"/>
                <w:szCs w:val="20"/>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resulting from observable price changes in orderly transactions for the identical or a similar investment of the Company.</w:t>
            </w:r>
          </w:p>
        </w:tc>
      </w:tr>
      <w:tr>
        <w:trPr>
          <w:trHeight w:val="414"/>
        </w:trPr>
        <w:tc>
          <w:tcPr>
            <w:tcW w:w="500" w:type="dxa"/>
            <w:vAlign w:val="bottom"/>
          </w:tcPr>
          <w:p>
            <w:pPr>
              <w:spacing w:after="0"/>
              <w:rPr>
                <w:sz w:val="24"/>
                <w:szCs w:val="24"/>
                <w:color w:val="auto"/>
              </w:rPr>
            </w:pPr>
          </w:p>
        </w:tc>
        <w:tc>
          <w:tcPr>
            <w:tcW w:w="10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the year ended December 31, 2025 and 2024, the Company provided nil and approximately US$0.002 million in impairment loss against its</w:t>
            </w:r>
          </w:p>
        </w:tc>
      </w:tr>
      <w:tr>
        <w:trPr>
          <w:trHeight w:val="234"/>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respectively.</w:t>
            </w:r>
          </w:p>
        </w:tc>
        <w:tc>
          <w:tcPr>
            <w:tcW w:w="2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75"/>
        </w:trPr>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4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5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0" w:type="dxa"/>
            <w:vAlign w:val="bottom"/>
          </w:tcPr>
          <w:p>
            <w:pPr>
              <w:spacing w:after="0"/>
              <w:rPr>
                <w:sz w:val="18"/>
                <w:szCs w:val="18"/>
                <w:color w:val="auto"/>
              </w:rPr>
            </w:pPr>
          </w:p>
        </w:tc>
      </w:tr>
      <w:tr>
        <w:trPr>
          <w:trHeight w:val="232"/>
        </w:trPr>
        <w:tc>
          <w:tcPr>
            <w:tcW w:w="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200" w:type="dxa"/>
            <w:vAlign w:val="bottom"/>
          </w:tcPr>
          <w:p>
            <w:pPr>
              <w:spacing w:after="0"/>
              <w:rPr>
                <w:sz w:val="20"/>
                <w:szCs w:val="20"/>
                <w:color w:val="auto"/>
              </w:rPr>
            </w:pPr>
          </w:p>
        </w:tc>
      </w:tr>
      <w:tr>
        <w:trPr>
          <w:trHeight w:val="194"/>
        </w:trPr>
        <w:tc>
          <w:tcPr>
            <w:tcW w:w="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4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devices</w:t>
            </w:r>
          </w:p>
        </w:tc>
        <w:tc>
          <w:tcPr>
            <w:tcW w:w="4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120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4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cost</w:t>
            </w:r>
          </w:p>
        </w:tc>
        <w:tc>
          <w:tcPr>
            <w:tcW w:w="29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1,945</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1,838</w:t>
            </w:r>
          </w:p>
        </w:tc>
        <w:tc>
          <w:tcPr>
            <w:tcW w:w="120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0" w:type="dxa"/>
            <w:vAlign w:val="bottom"/>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92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Depreciation expenses in the aggregate for the years ended December 31, 2025 and 2024 were approximately US$0.04 million and US$0.10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Intangible assets, net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500" w:type="dxa"/>
            <w:vAlign w:val="bottom"/>
          </w:tcPr>
          <w:p>
            <w:pPr>
              <w:spacing w:after="0"/>
              <w:rPr>
                <w:sz w:val="20"/>
                <w:szCs w:val="20"/>
                <w:color w:val="auto"/>
              </w:rPr>
            </w:pPr>
          </w:p>
        </w:tc>
        <w:tc>
          <w:tcPr>
            <w:tcW w:w="3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--10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compute software technology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products use right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--5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Ad tracking system</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streaming technology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--3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Rahula’s Intellectual Property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Blockchain Integrated Framework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Bo!News application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computer software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w:t>
            </w:r>
          </w:p>
        </w:tc>
      </w:tr>
      <w:tr>
        <w:trPr>
          <w:trHeight w:val="20"/>
        </w:trPr>
        <w:tc>
          <w:tcPr>
            <w:tcW w:w="50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87"/>
        </w:trPr>
        <w:tc>
          <w:tcPr>
            <w:tcW w:w="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500" w:type="dxa"/>
            <w:vAlign w:val="bottom"/>
          </w:tcPr>
          <w:p>
            <w:pPr>
              <w:spacing w:after="0"/>
              <w:rPr>
                <w:sz w:val="20"/>
                <w:szCs w:val="20"/>
                <w:color w:val="auto"/>
              </w:rPr>
            </w:pPr>
          </w:p>
        </w:tc>
        <w:tc>
          <w:tcPr>
            <w:tcW w:w="3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--10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compute software technology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products use right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Ad tracking system</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streaming technology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--3 years life: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Blockchain Integrated Framework</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Bo!News application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computer software</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Amortization expenses in the aggregate for the years ended December 31, 2025 and 2024 were approximately US$0.19 million and US$0.84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Intangible assets of the Company are tested for impairment when events or circumstances occur that could indicate that the carrying amount of an asset may not be recoverable. For the year ended December 31, 2025 and 2024, the Company recorded no impairment loss associated with its intangible assets, due to insufficient estimated future cash flows expected to be generated by these assets.</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Based on the adjusted carrying value of the finite-lived intangible assets after the deduction of the impairment losses, which has a weighted average remaining useful life of 2.19 years as of December 31, 2025, and assuming no further subsequent impairment of the underlying intangible assets, the estimated future amortization expenses is approximately US$0.24 million for the year ending December 31, 2026, approximately US$0.24 million for the year ending December 31, 2027 and approximately US$0.04 million for the year ending December 31, 2028.</w:t>
      </w:r>
    </w:p>
    <w:p>
      <w:pPr>
        <w:spacing w:after="0" w:line="200" w:lineRule="exact"/>
        <w:rPr>
          <w:sz w:val="20"/>
          <w:szCs w:val="20"/>
          <w:color w:val="auto"/>
        </w:rPr>
      </w:pPr>
    </w:p>
    <w:p>
      <w:pPr>
        <w:spacing w:after="0" w:line="219"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payroll and other accruals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62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620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staff welfare</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r>
      <w:tr>
        <w:trPr>
          <w:trHeight w:val="210"/>
        </w:trPr>
        <w:tc>
          <w:tcPr>
            <w:tcW w:w="6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557</w:t>
            </w:r>
          </w:p>
        </w:tc>
      </w:tr>
      <w:tr>
        <w:trPr>
          <w:trHeight w:val="20"/>
        </w:trPr>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1"/>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Income tax</w:t>
      </w:r>
    </w:p>
    <w:p>
      <w:pPr>
        <w:spacing w:after="0" w:line="2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entities within the Company file separate tax returns in the respective tax jurisdictions in which they operate.</w:t>
      </w:r>
    </w:p>
    <w:p>
      <w:pPr>
        <w:spacing w:after="0" w:line="225"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i). a. The Company is incorporated in the state of Nevada. Under the current law of Nevada, the Company is not subject to state corporate income tax. Following the Share Exchange, the Company became a holding company and does not conduct any substantial operations of its own. Before enactment of the Tax Cuts and Jobs Act (“TCJA” or the “Act”) in December 2017, the Company did not provide for U.S. taxes or foreign withholding taxes on undistributed earnings from its non-U.S. subsidiaries because such earnings are intended to be reinvested indefinitely. On December 22, 2017, the U.S. enacted the Act (which is commonly referred to as “U.S. tax reform”). The Act significantly changes U.S. corporate income tax laws including but not limited to reducing the U.S. corporate income tax rate from 35% to 21% beginning in 2018, imposing a one-time mandatory tax on previously deferred foreign earnings and imposing a new tax on global intangible low-taxed income (“GILTI”) effective for tax years of non-U.S. corporations beginning after December 31, 2017.</w:t>
      </w:r>
    </w:p>
    <w:p>
      <w:pPr>
        <w:spacing w:after="0" w:line="192"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i). b. Effective from January 1, 2018, the Company is subject to the new GILTI tax rules. The GILTI provisions impose a tax on foreign income in excess of a deemed return on tangible assets of controlled foreign corporations (“CFCs”), subject to the possible use of foreign tax credits and a deduction equal to 50 percent to offset the income tax liability, subject to some limitations. Under U.S. GAAP, the Company has made an accounting policy choice of treating taxes due on future U.S. inclusions in taxable income related to GILTI as a current period expense when incurred (the “period cost method”), instead of factoring such amounts into the Company’s measurement of its deferred taxes (the “deferred method”). For the years ended December 31, 2025 and 2024, no provision for federal corporate income tax has been made in the financial statements as the Company has no aggregated positive tested income.</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ii). Under the current law of the BVI, the Company’s subsidiaries being incorporate in the BVI are not subject to tax on income or capital gains.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Additionally, upon payments of dividends by these BVI companies to its respective shareholders, no BVI withholding tax will be imposed.</w:t>
      </w:r>
    </w:p>
    <w:p>
      <w:pPr>
        <w:spacing w:after="0" w:line="20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iii). The Company’s subsidiaries being incorporated in Hong Kong are governed by the Hong Kong Inland Revenue Ordinance (the “HK tax laws”). Effective from April 1, 2018, a two-tier corporate income tax system was officially implemented in Hong Kong. The applicable income tax rate is 8.25% for the first HK$2.0 million profits, and the subsequent profits are taxed at 16.5%. Additionally, upon payments of dividends by these Hong Kong subsidiaries to its shareholders, no Hong Kong withholding tax will be imposed.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iv). The Company’s operating subsidiaries and VIEs, being incorporated in the PRC, are governed by the income tax law of the PRC and is subject to PRC enterprise income tax (“EIT”). The EIT rate of PRC is 25%, which applies to both domestic and foreign invested enterprises.</w:t>
      </w:r>
    </w:p>
    <w:p>
      <w:pPr>
        <w:spacing w:after="0" w:line="162" w:lineRule="exact"/>
        <w:rPr>
          <w:sz w:val="20"/>
          <w:szCs w:val="20"/>
          <w:color w:val="auto"/>
        </w:rPr>
      </w:pPr>
    </w:p>
    <w:p>
      <w:pPr>
        <w:ind w:left="1300" w:hanging="482"/>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EIT rate for all the Company’s PRC operating entities is 25% for both the years ended December 31, 2025 and 2024.</w:t>
      </w:r>
    </w:p>
    <w:p>
      <w:pPr>
        <w:spacing w:after="0" w:line="252" w:lineRule="exact"/>
        <w:rPr>
          <w:rFonts w:ascii="Times New Roman" w:cs="Times New Roman" w:eastAsia="Times New Roman" w:hAnsi="Times New Roman"/>
          <w:sz w:val="18"/>
          <w:szCs w:val="18"/>
          <w:color w:val="auto"/>
        </w:rPr>
      </w:pPr>
    </w:p>
    <w:p>
      <w:pPr>
        <w:ind w:left="1300" w:right="60" w:hanging="482"/>
        <w:spacing w:after="0" w:line="258"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Opportunity Online’s qualification as a High and New Technology Enterprise expired in November 2021, as a result, the applicable EIT rates of Business Opportunity Online had changed from 15% to 25% since the year ended December 31, 2021, and its net operating losses (NOLs) carryforward period changed to 5 years from 10 years for a High and New Technology Enterprise. The effect on deferred taxes of such changes was recognized in the statement of operations and comprehensive loss for the year ended December 31, 2021.</w:t>
      </w:r>
    </w:p>
    <w:p>
      <w:pPr>
        <w:spacing w:after="0" w:line="183" w:lineRule="exact"/>
        <w:rPr>
          <w:rFonts w:ascii="Times New Roman" w:cs="Times New Roman" w:eastAsia="Times New Roman" w:hAnsi="Times New Roman"/>
          <w:sz w:val="18"/>
          <w:szCs w:val="18"/>
          <w:color w:val="auto"/>
        </w:rPr>
      </w:pPr>
    </w:p>
    <w:p>
      <w:pPr>
        <w:ind w:left="1300" w:right="20" w:hanging="482"/>
        <w:spacing w:after="0" w:line="261"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PRC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subject to certain conditions and requirements.</w:t>
      </w:r>
    </w:p>
    <w:p>
      <w:pPr>
        <w:spacing w:after="0" w:line="17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Turnover taxes and the relevant surcharges</w:t>
      </w:r>
    </w:p>
    <w:p>
      <w:pPr>
        <w:spacing w:after="0" w:line="254"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Service revenues generated by the Company’s PRC operating subsidiaries and VIEs are subject to Value Added Tax (“VAT”). VAT rate for provision of modern services (other than lease of corporeal movables) is 6%, and for small scale taxpayer, 3%. Therefore, for the years ended December 31, 2025 and 2024, the Company’s service revenues generated in the PRC are subject to VAT at a rate of 6%, after deducting the VAT paid for the resources and services purchased from suppliers, or at a rate of 3% without any deduction of VAT paid for the resources and services purchased from suppliers. The surcharges of the VAT in the aggregate is 12% of the VAT.</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2024, taxes payable consists of:</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6200" w:type="dxa"/>
            <w:vAlign w:val="bottom"/>
          </w:tcPr>
          <w:p>
            <w:pPr>
              <w:spacing w:after="0"/>
              <w:rPr>
                <w:sz w:val="24"/>
                <w:szCs w:val="24"/>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62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6200" w:type="dxa"/>
            <w:vAlign w:val="bottom"/>
          </w:tcPr>
          <w:p>
            <w:pPr>
              <w:spacing w:after="0"/>
              <w:rPr>
                <w:sz w:val="20"/>
                <w:szCs w:val="20"/>
                <w:color w:val="auto"/>
              </w:rPr>
            </w:pPr>
          </w:p>
        </w:tc>
        <w:tc>
          <w:tcPr>
            <w:tcW w:w="1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Turnover tax and surcharge payable</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Enterprise income tax payable</w:t>
            </w: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1,905</w:t>
            </w: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Taxes payable</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3,249</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3,152</w:t>
            </w:r>
          </w:p>
        </w:tc>
      </w:tr>
      <w:tr>
        <w:trPr>
          <w:trHeight w:val="20"/>
        </w:trPr>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benefit determined at the U.S. federal corporate income tax rate to the Company’s effective income tax benefit/(expense)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80" w:type="dxa"/>
            <w:vAlign w:val="bottom"/>
          </w:tcPr>
          <w:p>
            <w:pPr>
              <w:spacing w:after="0"/>
              <w:rPr>
                <w:sz w:val="18"/>
                <w:szCs w:val="18"/>
                <w:color w:val="auto"/>
              </w:rPr>
            </w:pPr>
          </w:p>
        </w:tc>
        <w:tc>
          <w:tcPr>
            <w:tcW w:w="20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40" w:type="dxa"/>
            <w:vAlign w:val="bottom"/>
            <w:tcBorders>
              <w:top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top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84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computed at U.S. federal rate</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 differential for foreign earnings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8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(Provision for) / reversal of valuation allowance</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on deferred tax assets</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Expired tax attribute carryforwards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8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Tax effect on other (non-deductible</w:t>
            </w:r>
          </w:p>
        </w:tc>
        <w:tc>
          <w:tcPr>
            <w:tcW w:w="13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vMerge w:val="restart"/>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00" w:type="dxa"/>
            <w:vAlign w:val="bottom"/>
          </w:tcPr>
          <w:p>
            <w:pPr>
              <w:spacing w:after="0"/>
              <w:rPr>
                <w:sz w:val="19"/>
                <w:szCs w:val="19"/>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expenses)/non-taxable income</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benefit/(expense)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F-34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Company’s income tax (benefit)/expense consisted of:</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2"/>
        </w:trPr>
        <w:tc>
          <w:tcPr>
            <w:tcW w:w="6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benefit/(expense)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deferred tax assets at December 31, 2025 and 2024 were as follows:</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4"/>
                <w:szCs w:val="24"/>
                <w:color w:val="auto"/>
              </w:rPr>
            </w:pPr>
          </w:p>
        </w:tc>
        <w:tc>
          <w:tcPr>
            <w:tcW w:w="334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32"/>
        </w:trPr>
        <w:tc>
          <w:tcPr>
            <w:tcW w:w="6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net operating losses carried forward</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10,853</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11,035</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intangible assets</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debts provision</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(13,136)</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U.S. holding company has incurred aggregate net operating losses (NOLs) of approximately US$35.24 million and US$34.18 million at December 31, 2025 and 2024, respectively. The NOLs carryforwards as of December 31, 2017 gradually expire over time, the last of which expires in 2037. NOLs incurred after December 31, 2017 will no longer be available to carry back but can be carried forward indefinitely. Furthermore, the Act imposes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spacing w:after="0" w:line="187"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NOLs carried forward incurred by the Company’s PRC subsidiaries and VIEs were approximately US$8.99 million and US$10.87 million at December 31, 2025 and 2024, respectively. The losses carryforwards gradually expire over time, the last of which expires in 2027. The related deferred tax assets were calculated based on the respective net operating losses incurred by each of the PRC subsidiaries and VIEs and the respective corresponding enacted tax rate that will be in effect in the period in which the losses are expected to be utilized.</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Company recorded approximately US$13.10 million and US$13.14 million valuation allowance as of December 31, 2025 and 2024, respectively, because it is considered more likely than not that a portion of the deferred tax assets will not be realized through sufficient future earnings of the entities to which the operating losses related.</w:t>
      </w:r>
    </w:p>
    <w:p>
      <w:pPr>
        <w:spacing w:after="0" w:line="17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total net deferred tax assets valuation allowance reversed was approximately US$0.12 million and total deferred tax assets valuation allowance provided was approximately US$$0.89 million, respectively.</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from investors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2025, we had no advances from investors.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we received advances from investors of approximately US$1.08 million. On August 23, September 5, September 6, September 25, 2024, we entered into a securities purchase agreement with each of four investors (including one member of our Board of Directors), respectively, pursuant to which each purchaser agreed to purchase 89,606 shares of common stock for an aggregate purchase price of US$268,818. On the date that each securities purchase agreement was signed, each purchaser entered into a lock-up agreement with the Company, respectively, whereby each purchaser agreed not to transfer the shares until the six-month anniversary of the date of each securities purchase agreement.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shares have been restated in this note to reflect the effect of the 1-for-4 reverse stock split on September 30, 2024, see Note 4(l).</w:t>
      </w: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Other current liabilities</w:t>
      </w:r>
    </w:p>
    <w:p>
      <w:pPr>
        <w:spacing w:after="0" w:line="25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As of December 31, 2025, other current liabilities were approximately US$0.57 million, of which approximately US$0.47 million was interest free loans received from a related party, our Chief Executive Officer.</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As of December 31, 2024, other current liabilities were approximately US$0.48 million, of which approximately US$0.12 million was interest free loans received from a related party, our Chief Executive Officer.</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borrowing from a related party</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borrowing from a related party is a non-interest bearing loan from a related party of the Company relating to the original paid-in capital contribution in the Company’s wholly-owned subsidiary Rise King WFOE, which is not expected to be repaid within one year.</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Financing and warrant liabilities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consummated registered direct offerings and issued the Company’s common stock and common stock purchase warrants to certain institutional investors, and common stock purchase warrants to its placement agent, in February 2021 (the “2021 Financing”) and December 2020 (the “2020 Financing”). Warrants issued to the investors and placement agent in the 2020 Financing were referred to as the “2020 Investors Warrants” and the “2020 Placement Agent Warrants”, respectively. The warrants issued in the 2021 Financing and the 2020 (Collectively, the “Financings”) were referred to collectively as the “Warrants”. As of December 31, 2024, the warrants issued in the 2021 and 2020 Financing have expired.</w:t>
      </w:r>
    </w:p>
    <w:p>
      <w:pPr>
        <w:spacing w:after="0" w:line="187"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respective initial exercise price of the Warrants is subject to anti-dilution provisions that require adjustment of the number of shares of common stock that may be acquired upon exercise of the warrant, or to the exercise price of such shares, or both, to reflect stock dividends and splits, subsequent rights offerings, pro-rata distributions, and certain fundamental transactions. The Warrants also contain “full ratchet” price protection in the event of subsequent issuances below the applicable exercise price (the “Down round feature”).</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Warrants may not be exercised if it would result in the holder beneficially owning more than 4.99% of the Company’s outstanding common shares (the “Beneficial Ownership Limitation”). The holder of the warrants, upon notice to the Company, may increase or decrease the Beneficial Ownership Limitation, provided that the Beneficial Ownership Limitation in no event exceeds 9.99% of the Company’s outstanding common shares. Any increase in the Beneficial Ownership Limitation will not be effective until the 61st day after such notice is delivered to the Company.</w:t>
      </w:r>
    </w:p>
    <w:p>
      <w:pPr>
        <w:spacing w:after="0" w:line="17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Accounting for securities issued in the Financings</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Company’s common stock issued in the Financings should be classified as permanent equity as there was no redemption provision at the option of the holders that is not within the control of the Company on or after an agreed upon date.</w:t>
      </w:r>
    </w:p>
    <w:p>
      <w:pPr>
        <w:spacing w:after="0" w:line="16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analyzed the Warrants issued in the Financings in accordance with ASC Topic 815 “Derivatives and Hedging”. In accordance with ASC Topic 815, the Company determined that the Warrants should not be considered index to its own stock, as the strike price of the Warrants is dominated in a currency (U.S. dollar) other than the functional currency of the Company (Renminbi or Yuan). As a result, the Warrants do not meet the scope exception of ASC Topic 815, therefore, should be accounted for as derivative liabilities and measure at fair value with changes in fair value be recorded in earnings in each reporting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and 2024, the Company did not recognize any change in fair value of warrant liabilities.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Warrants issued and outstanding on December 31, 2024 and their movements during the year then ended are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Outstanding*</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Warrant Exercisable*</w:t>
            </w:r>
          </w:p>
        </w:tc>
        <w:tc>
          <w:tcPr>
            <w:tcW w:w="980" w:type="dxa"/>
            <w:vAlign w:val="bottom"/>
            <w:tcBorders>
              <w:bottom w:val="single" w:sz="8" w:color="auto"/>
            </w:tcBorders>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Weighted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2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1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2200" w:type="dxa"/>
            <w:vAlign w:val="bottom"/>
          </w:tcPr>
          <w:p>
            <w:pPr>
              <w:spacing w:after="0"/>
              <w:rPr>
                <w:sz w:val="18"/>
                <w:szCs w:val="18"/>
                <w:color w:val="auto"/>
              </w:rPr>
            </w:pP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6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24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220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underlying</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4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2200" w:type="dxa"/>
            <w:vAlign w:val="bottom"/>
          </w:tcPr>
          <w:p>
            <w:pPr>
              <w:spacing w:after="0"/>
              <w:rPr>
                <w:sz w:val="20"/>
                <w:szCs w:val="20"/>
                <w:color w:val="auto"/>
              </w:rPr>
            </w:pP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shares</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Life (Years)</w:t>
            </w:r>
          </w:p>
        </w:tc>
        <w:tc>
          <w:tcPr>
            <w:tcW w:w="26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Life (Years)</w:t>
            </w:r>
          </w:p>
        </w:tc>
        <w:tc>
          <w:tcPr>
            <w:tcW w:w="240" w:type="dxa"/>
            <w:vAlign w:val="bottom"/>
          </w:tcPr>
          <w:p>
            <w:pPr>
              <w:spacing w:after="0"/>
              <w:rPr>
                <w:sz w:val="20"/>
                <w:szCs w:val="20"/>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Price</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2024</w:t>
            </w:r>
          </w:p>
        </w:tc>
        <w:tc>
          <w:tcPr>
            <w:tcW w:w="1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148,543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148,543</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Issued/Vested</w:t>
            </w:r>
          </w:p>
        </w:tc>
        <w:tc>
          <w:tcPr>
            <w:tcW w:w="9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(148,543)</w:t>
            </w:r>
          </w:p>
        </w:tc>
        <w:tc>
          <w:tcPr>
            <w:tcW w:w="12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(148,543)</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74.00</w:t>
            </w:r>
          </w:p>
        </w:tc>
      </w:tr>
      <w:tr>
        <w:trPr>
          <w:trHeight w:val="210"/>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9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 Except where otherwise specified, the numbers of common stock and common stock purchase warrant, the purchase prices of the common stock, the exercise prices of the common stock purchase warrant discussed in this note have been retroactively restated for effect of the 1-for-4 reverse stock split on September 30, 2024, respectively. See Note 4(l).</w:t>
      </w:r>
    </w:p>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is a Nevada holding company with operations primarily conducted through our subsidiaries outside of mainland China, with limited operations in mainland China conducted through our PRC subsidiaries,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spacing w:after="0" w:line="167"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December 31, 2025 and December 31, 2024, net assets restricted in the aggregate, that are included in the Company’s consolidated net assets, were approximately US$13.11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spacing w:after="0" w:line="191"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spacing w:after="0" w:line="192"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18"/>
          <w:szCs w:val="18"/>
          <w:color w:val="auto"/>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spacing w:after="0" w:line="195" w:lineRule="exact"/>
        <w:rPr>
          <w:sz w:val="20"/>
          <w:szCs w:val="20"/>
          <w:color w:val="auto"/>
        </w:rPr>
      </w:pPr>
    </w:p>
    <w:p>
      <w:pPr>
        <w:jc w:val="both"/>
        <w:ind w:left="500" w:right="20"/>
        <w:spacing w:after="0" w:line="266" w:lineRule="auto"/>
        <w:rPr>
          <w:sz w:val="20"/>
          <w:szCs w:val="20"/>
          <w:color w:val="auto"/>
        </w:rPr>
      </w:pPr>
      <w:r>
        <w:rPr>
          <w:rFonts w:ascii="Times New Roman" w:cs="Times New Roman" w:eastAsia="Times New Roman" w:hAnsi="Times New Roman"/>
          <w:sz w:val="18"/>
          <w:szCs w:val="18"/>
          <w:color w:val="auto"/>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spacing w:after="0" w:line="176" w:lineRule="exact"/>
        <w:rPr>
          <w:sz w:val="20"/>
          <w:szCs w:val="20"/>
          <w:color w:val="auto"/>
        </w:rPr>
      </w:pPr>
    </w:p>
    <w:p>
      <w:pPr>
        <w:jc w:val="both"/>
        <w:ind w:left="500" w:right="20"/>
        <w:spacing w:after="0" w:line="266" w:lineRule="auto"/>
        <w:rPr>
          <w:sz w:val="20"/>
          <w:szCs w:val="20"/>
          <w:color w:val="auto"/>
        </w:rPr>
      </w:pPr>
      <w:r>
        <w:rPr>
          <w:rFonts w:ascii="Times New Roman" w:cs="Times New Roman" w:eastAsia="Times New Roman" w:hAnsi="Times New Roman"/>
          <w:sz w:val="18"/>
          <w:szCs w:val="18"/>
          <w:color w:val="auto"/>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defined contribution plan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and VIEs of the Company make contributions to the government for these benefits based on certain percentages of the employees’ salaries. The Mandatory Provident Fund (MPF) schemes in Hong Kong are defined contribution retirement schemes managed by authorized independent trustees. Under the Mandatory Provident Fund Schemes Ordinance of Hong Kong, employers are required to enroll their Hong Kong employees aged between 18 and 65 in an MPF scheme and make contributions on their behalf. Under the MPF system, both the employer and the employee are required to contribute 5% of the employee’s monthly relevant income as mandatory contributions, subject to the prescribed minimum and maximum relevant income levels for contribution purposes in Hong Kong. The employee benefits were expensed as incurred. The Company has no legal obligation for the benefits beyond the contributions made. Total amounts for such employee benefits were approximately US$0.05 million and US$0.08 million for the years ended December 31, 2025 and 2024, respectively.</w:t>
      </w:r>
    </w:p>
    <w:p>
      <w:pPr>
        <w:spacing w:after="0" w:line="200" w:lineRule="exact"/>
        <w:rPr>
          <w:rFonts w:ascii="Times New Roman" w:cs="Times New Roman" w:eastAsia="Times New Roman" w:hAnsi="Times New Roman"/>
          <w:sz w:val="18"/>
          <w:szCs w:val="18"/>
          <w:b w:val="1"/>
          <w:bCs w:val="1"/>
          <w:color w:val="auto"/>
        </w:rPr>
      </w:pPr>
    </w:p>
    <w:p>
      <w:pPr>
        <w:spacing w:after="0" w:line="233" w:lineRule="exact"/>
        <w:rPr>
          <w:rFonts w:ascii="Times New Roman" w:cs="Times New Roman" w:eastAsia="Times New Roman" w:hAnsi="Times New Roman"/>
          <w:sz w:val="18"/>
          <w:szCs w:val="18"/>
          <w:b w:val="1"/>
          <w:bCs w:val="1"/>
          <w:color w:val="auto"/>
        </w:rPr>
      </w:pPr>
    </w:p>
    <w:p>
      <w:pPr>
        <w:ind w:left="500" w:right="9100" w:hanging="492"/>
        <w:spacing w:after="0" w:line="503" w:lineRule="auto"/>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Concentration of risk </w:t>
      </w:r>
      <w:r>
        <w:rPr>
          <w:rFonts w:ascii="Times New Roman" w:cs="Times New Roman" w:eastAsia="Times New Roman" w:hAnsi="Times New Roman"/>
          <w:sz w:val="18"/>
          <w:szCs w:val="18"/>
          <w:i w:val="1"/>
          <w:iCs w:val="1"/>
          <w:u w:val="single" w:color="auto"/>
          <w:color w:val="auto"/>
        </w:rPr>
        <w:t>Credit risk</w:t>
      </w: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accounts receivable and short-term loans to unrelated parties. As of December 31, 2025, 18% of the Company’s cash and cash equivalents were held by financial institutions located in the United States of America, and the remaining 82% was held by major financial institutions located in the PRC. The Company believes that these financial institutions located in the PRC and the United States of America are of high credit quality. For accounts receivable and short-term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its credit risk for accounts receivable and short-term loans to unrelated parties are significantly reduced.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customers</w:t>
      </w:r>
    </w:p>
    <w:p>
      <w:pPr>
        <w:spacing w:after="0" w:line="227"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following tables summarized the information about the Company’s concentration of customers for the years ended December 31, 2025 and 2024, respectively:</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r>
      <w:tr>
        <w:trPr>
          <w:trHeight w:val="238"/>
        </w:trPr>
        <w:tc>
          <w:tcPr>
            <w:tcW w:w="33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F</w:t>
            </w: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Revenues, customer concentration risk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21%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customer concentration risk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customer concentration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22%</w:t>
            </w:r>
          </w:p>
        </w:tc>
      </w:tr>
      <w:tr>
        <w:trPr>
          <w:trHeight w:val="234"/>
        </w:trPr>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risk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78%</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3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customer concentration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56%</w:t>
            </w:r>
          </w:p>
        </w:tc>
      </w:tr>
      <w:tr>
        <w:trPr>
          <w:trHeight w:val="234"/>
        </w:trPr>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risk</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Less than 10%.</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No transaction incurred for the reporting period/no balance existed as of the reporting date.</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suppliers</w:t>
      </w:r>
    </w:p>
    <w:p>
      <w:pPr>
        <w:spacing w:after="0" w:line="227"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summarized the information about the Company’s concentration of suppliers for the years ended December 31, 2025 and 2024, respectively:</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Supplier</w:t>
            </w:r>
          </w:p>
        </w:tc>
      </w:tr>
      <w:tr>
        <w:trPr>
          <w:trHeight w:val="238"/>
        </w:trPr>
        <w:tc>
          <w:tcPr>
            <w:tcW w:w="34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A</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supplier concentration risk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12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supplier concentration risk</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12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Less than 10%.</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00" w:type="dxa"/>
            <w:vAlign w:val="bottom"/>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4"/>
        </w:trPr>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Internet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segment</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Ad.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and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Blockchain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reconciling</w:t>
            </w: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service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 Services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technology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item</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20"/>
                <w:szCs w:val="20"/>
                <w:color w:val="auto"/>
              </w:rPr>
            </w:pPr>
          </w:p>
        </w:tc>
      </w:tr>
      <w:tr>
        <w:trPr>
          <w:trHeight w:val="228"/>
        </w:trPr>
        <w:tc>
          <w:tcPr>
            <w:tcW w:w="5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9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US$(’000)</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US$(’000)</w:t>
            </w:r>
          </w:p>
        </w:tc>
        <w:tc>
          <w:tcPr>
            <w:tcW w:w="1200" w:type="dxa"/>
            <w:vAlign w:val="bottom"/>
          </w:tcPr>
          <w:p>
            <w:pPr>
              <w:spacing w:after="0"/>
              <w:rPr>
                <w:sz w:val="19"/>
                <w:szCs w:val="19"/>
                <w:color w:val="auto"/>
              </w:rPr>
            </w:pPr>
          </w:p>
        </w:tc>
      </w:tr>
      <w:tr>
        <w:trPr>
          <w:trHeight w:val="198"/>
        </w:trPr>
        <w:tc>
          <w:tcPr>
            <w:tcW w:w="5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4,261</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2,306</w:t>
            </w:r>
          </w:p>
        </w:tc>
        <w:tc>
          <w:tcPr>
            <w:tcW w:w="1200" w:type="dxa"/>
            <w:vAlign w:val="bottom"/>
          </w:tcPr>
          <w:p>
            <w:pPr>
              <w:spacing w:after="0"/>
              <w:rPr>
                <w:sz w:val="18"/>
                <w:szCs w:val="18"/>
                <w:color w:val="auto"/>
              </w:rPr>
            </w:pPr>
          </w:p>
        </w:tc>
      </w:tr>
      <w:tr>
        <w:trPr>
          <w:trHeight w:val="198"/>
        </w:trPr>
        <w:tc>
          <w:tcPr>
            <w:tcW w:w="50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cost of revenues and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200" w:type="dxa"/>
            <w:vAlign w:val="bottom"/>
          </w:tcPr>
          <w:p>
            <w:pPr>
              <w:spacing w:after="0"/>
              <w:rPr>
                <w:sz w:val="20"/>
                <w:szCs w:val="20"/>
                <w:color w:val="auto"/>
              </w:rPr>
            </w:pPr>
          </w:p>
        </w:tc>
      </w:tr>
      <w:tr>
        <w:trPr>
          <w:trHeight w:val="198"/>
        </w:trPr>
        <w:tc>
          <w:tcPr>
            <w:tcW w:w="50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intangible assets included in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assets-December 31, 2025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9,678</w:t>
            </w:r>
          </w:p>
        </w:tc>
        <w:tc>
          <w:tcPr>
            <w:tcW w:w="1200" w:type="dxa"/>
            <w:vAlign w:val="bottom"/>
          </w:tcPr>
          <w:p>
            <w:pPr>
              <w:spacing w:after="0"/>
              <w:rPr>
                <w:sz w:val="20"/>
                <w:szCs w:val="20"/>
                <w:color w:val="auto"/>
              </w:rPr>
            </w:pPr>
          </w:p>
        </w:tc>
      </w:tr>
      <w:tr>
        <w:trPr>
          <w:trHeight w:val="363"/>
        </w:trPr>
        <w:tc>
          <w:tcPr>
            <w:tcW w:w="500" w:type="dxa"/>
            <w:vAlign w:val="bottom"/>
          </w:tcPr>
          <w:p>
            <w:pPr>
              <w:spacing w:after="0"/>
              <w:rPr>
                <w:sz w:val="24"/>
                <w:szCs w:val="24"/>
                <w:color w:val="auto"/>
              </w:rPr>
            </w:pPr>
          </w:p>
        </w:tc>
        <w:tc>
          <w:tcPr>
            <w:tcW w:w="53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 Including approximately US$0.35 million share-based compensation expenses.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5"/>
        </w:trPr>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F-40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4020" w:type="dxa"/>
            <w:vAlign w:val="bottom"/>
            <w:gridSpan w:val="7"/>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14"/>
        </w:trPr>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w:t>
            </w:r>
          </w:p>
        </w:tc>
        <w:tc>
          <w:tcPr>
            <w:tcW w:w="94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segment</w:t>
            </w:r>
          </w:p>
        </w:tc>
        <w:tc>
          <w:tcPr>
            <w:tcW w:w="9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w:t>
            </w:r>
          </w:p>
        </w:tc>
        <w:tc>
          <w:tcPr>
            <w:tcW w:w="94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Blockchain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reconciling</w:t>
            </w:r>
          </w:p>
        </w:tc>
        <w:tc>
          <w:tcPr>
            <w:tcW w:w="9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IP Services</w:t>
            </w: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technology</w:t>
            </w:r>
          </w:p>
        </w:tc>
        <w:tc>
          <w:tcPr>
            <w:tcW w:w="1000" w:type="dxa"/>
            <w:vAlign w:val="bottom"/>
            <w:gridSpan w:val="2"/>
          </w:tcPr>
          <w:p>
            <w:pPr>
              <w:jc w:val="right"/>
              <w:spacing w:after="0" w:line="235" w:lineRule="exact"/>
              <w:rPr>
                <w:sz w:val="20"/>
                <w:szCs w:val="20"/>
                <w:color w:val="auto"/>
              </w:rPr>
            </w:pPr>
            <w:r>
              <w:rPr>
                <w:rFonts w:ascii="Times New Roman" w:cs="Times New Roman" w:eastAsia="Times New Roman" w:hAnsi="Times New Roman"/>
                <w:sz w:val="17"/>
                <w:szCs w:val="17"/>
                <w:color w:val="auto"/>
              </w:rPr>
              <w:t>Corporate</w:t>
            </w:r>
            <w:r>
              <w:rPr>
                <w:rFonts w:ascii="Times New Roman" w:cs="Times New Roman" w:eastAsia="Times New Roman" w:hAnsi="Times New Roman"/>
                <w:sz w:val="27"/>
                <w:szCs w:val="27"/>
                <w:color w:val="auto"/>
                <w:vertAlign w:val="superscript"/>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item</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8"/>
        </w:trPr>
        <w:tc>
          <w:tcPr>
            <w:tcW w:w="3240" w:type="dxa"/>
            <w:vAlign w:val="bottom"/>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US$(’000)</w:t>
            </w: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US$(’000)</w:t>
            </w:r>
          </w:p>
        </w:tc>
      </w:tr>
      <w:tr>
        <w:trPr>
          <w:trHeight w:val="198"/>
        </w:trPr>
        <w:tc>
          <w:tcPr>
            <w:tcW w:w="3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4,203</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cost of revenues and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intangible assets included in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subsidiaries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3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assets-December 31, 2024</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9,686</w:t>
            </w:r>
          </w:p>
        </w:tc>
      </w:tr>
    </w:tbl>
    <w:p>
      <w:pPr>
        <w:spacing w:after="0" w:line="175" w:lineRule="exact"/>
        <w:rPr>
          <w:sz w:val="20"/>
          <w:szCs w:val="20"/>
          <w:color w:val="auto"/>
        </w:rPr>
      </w:pPr>
    </w:p>
    <w:p>
      <w:pPr>
        <w:ind w:left="980" w:hanging="486"/>
        <w:spacing w:after="0"/>
        <w:tabs>
          <w:tab w:leader="none" w:pos="9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approximately US$0.68 million share-based compensation expenses.</w:t>
      </w:r>
    </w:p>
    <w:p>
      <w:pPr>
        <w:spacing w:after="0" w:line="82" w:lineRule="exact"/>
        <w:rPr>
          <w:rFonts w:ascii="Times New Roman" w:cs="Times New Roman" w:eastAsia="Times New Roman" w:hAnsi="Times New Roman"/>
          <w:sz w:val="14"/>
          <w:szCs w:val="14"/>
          <w:color w:val="auto"/>
        </w:rPr>
      </w:pPr>
    </w:p>
    <w:p>
      <w:pPr>
        <w:ind w:left="980" w:right="40" w:hanging="486"/>
        <w:spacing w:after="0" w:line="241" w:lineRule="auto"/>
        <w:tabs>
          <w:tab w:leader="none" w:pos="9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our Ecommerce O2O Ad and marketing services segment has been dormant and historical amounts were immaterial, the operations of this segment have been combined with the corporate segment for financial reporting purposes. Accordingly, the segment information for the year ended December 31, 2024, has been reclassified to conform to the presentation for the year ended December 31, 2025.</w:t>
      </w:r>
    </w:p>
    <w:p>
      <w:pPr>
        <w:spacing w:after="0" w:line="200" w:lineRule="exact"/>
        <w:rPr>
          <w:rFonts w:ascii="Times New Roman" w:cs="Times New Roman" w:eastAsia="Times New Roman" w:hAnsi="Times New Roman"/>
          <w:sz w:val="14"/>
          <w:szCs w:val="14"/>
          <w:color w:val="auto"/>
        </w:rPr>
      </w:pPr>
    </w:p>
    <w:p>
      <w:pPr>
        <w:spacing w:after="0" w:line="219"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 per share for each of the years presented is calculated as follows (All amounts, except number of shares and per share data, are presented in thousands of U.S. dollars):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8"/>
        </w:trPr>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ZW Data Action Technologies Inc. (numerator for basic and</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16"/>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 **</w:t>
            </w: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2,021,492</w:t>
            </w: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hanging="226"/>
        <w:spacing w:after="0"/>
        <w:tabs>
          <w:tab w:leader="none" w:pos="7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effects of the 1-for-4 reverse stock split effective on September 30, 2024, respectively, See Note 4(l).</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expenses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and September of 2024, under its 2023 Omnibus Securities and Incentive Plan, the Company granted and issued an aggregate of approximately 0.19 million fully-vested shares of the Company’s restricted common stock to employees of the Company in exchange for their services to the Company. These shares were valued at the closing bid price of the Company’s common stock on the respective date of grant. Total compensation expenses recognized was approximately US$0.45 million for the year ended December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ind w:right="20"/>
        <w:spacing w:after="0"/>
        <w:rPr>
          <w:sz w:val="20"/>
          <w:szCs w:val="20"/>
          <w:color w:val="auto"/>
        </w:rPr>
      </w:pPr>
      <w:r>
        <w:rPr>
          <w:rFonts w:ascii="Times New Roman" w:cs="Times New Roman" w:eastAsia="Times New Roman" w:hAnsi="Times New Roman"/>
          <w:sz w:val="18"/>
          <w:szCs w:val="18"/>
          <w:color w:val="auto"/>
        </w:rPr>
        <w:t>ZW DATA ACTION TECHNOLOGIES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August 2024, the Company granted and issued approximately 0.18 million fully-vested and non-forfeitable shares of the Company restricted common stock to business and financial consultants in exchange for their service for a 12-month period until August 2025. Total compensation expenses amortized was approximately US$0.23 million and US$0.35 million for the years ended December 31, 2024 and 2025,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summarized share-based compensation expenses recorded for the years ended December 31, 2025 and 2024, respectively:</w:t>
      </w:r>
    </w:p>
    <w:p>
      <w:pPr>
        <w:spacing w:after="0" w:line="2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500" w:type="dxa"/>
        <w:tblCellMar>
          <w:top w:w="0" w:type="dxa"/>
          <w:left w:w="0" w:type="dxa"/>
          <w:bottom w:w="0" w:type="dxa"/>
          <w:right w:w="0" w:type="dxa"/>
        </w:tblCellMar>
      </w:tblPr>
      <w:tr>
        <w:trPr>
          <w:trHeight w:val="209"/>
        </w:trPr>
        <w:tc>
          <w:tcPr>
            <w:tcW w:w="6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2"/>
        </w:trPr>
        <w:tc>
          <w:tcPr>
            <w:tcW w:w="6200" w:type="dxa"/>
            <w:vAlign w:val="bottom"/>
          </w:tcPr>
          <w:p>
            <w:pPr>
              <w:spacing w:after="0"/>
              <w:rPr>
                <w:sz w:val="20"/>
                <w:szCs w:val="20"/>
                <w:color w:val="auto"/>
              </w:rPr>
            </w:pPr>
          </w:p>
        </w:tc>
        <w:tc>
          <w:tcPr>
            <w:tcW w:w="12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6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w:t>
            </w: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684</w:t>
            </w:r>
          </w:p>
        </w:tc>
      </w:tr>
      <w:tr>
        <w:trPr>
          <w:trHeight w:val="20"/>
        </w:trPr>
        <w:tc>
          <w:tcPr>
            <w:tcW w:w="6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subsequent events have occurred that are required to be adjusted or disclosed as of the date of this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F-42</w:t>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ZW Data Action Technologies Inc. has one class of securities, common stock, registered under Section 12 of the Securities Exchange Act of 1934, as amended. The following is a summary of all material characteristics of our common stock as set forth in our articles of incorporation and bylaws. The summary does not purport to be complete and is qualified in its entirety by reference to our articles of incorporation and bylaws, all of which are incorporated by reference as an exhibit to the Annual Report on Form 10-K of which this Exhibit 4.4 is a part, and to the provisions of the Nevada Revised Statutes.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32,500,000 shares, consisting of 12,500,000 shares of common stock par value $.001 per share, of which 3,268,429 shares are issued and outstanding as of the date of this Annual Report, and 20,000,000 shares of preferred stock, par value $.001 per share. None of our preferred stock is currently outstanding. Pursuant to our articles of incorporation, our board of directors has the authority to provide for the issuance, in one or more series, of our authorized preferred stock and to fix or alter the rights, preferences, privileges and restrictions granted to or imposed upon any series of our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Each holder of shares of common stock is entitled to one vote per share at stockholders’ meetings. Our articles of incorporation do not provide for cumulative voting for the election of directors. Holders of shares of common stock are entitled to receive, pro rata, such dividends as may be declared by the board of directors out of funds legally available therefor, and are also entitled to share, pro rata, in any other distributions to the stockholders. Upon any liquidation, dissolution or winding-up, holders of shares of common stock are entitled to share ratably in all assets remaining after payment of liabilities. Holders of shares of common stock do not have any preemptive rights or other rights to subscribe for additional shares. The outstanding shares of common stock are paid for, fully paid and non-assessable. The rights, preferences and privileges of the holders of our common stock are subject to the rights of the holders of shares of any series of preferred stock which we may issue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for our capital stock is Empire Stock Transfer, with an address at 1859 Whitney Mesa Dr., Henderson, Nevada 89014, telephone number is 702-818-5898.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“CNET.”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stockholders of record, including at least 100 stockholders of record who are Nevada residents, and that conduct business directly or indirectly in Nevada, unless the corporation has elected to not be subject to these provisions. 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 A corporation may elect to not be governed by, or “opt out” of, the control share provisions by making an election in its articles of incorporation or bylaws, provided that the opt-out election must be in place on the 10th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10th day following such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8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Net Online Media Group Limited (“China Net BVI”), a British Virgin Islands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CNET Technology Limited (“CNET Technology BVI“), a British Virgin Islands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Cnet SEA Limited (“Cnet SEA”), a Samoa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China Net BVI is the sole shareholder of CNET Online Technology Co. Limited (“China Net HK”), a Hong Kong company, the sole shareholder of ChinaNet Investment Holding Ltd. (“ChinaNet Investment BVI”), a British Virgin Islands company and the sole shareholder of CNET Media (HK) Limited (“CNET Media HK), a Hong Kong company.</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ChinaNet Investment BVI is the sole shareholder of Grandon Investments Limited (“Grandon BVI”), a British Virgin Islands company and the sole shareholder of Cnet Technology (HK) Limited (“Cnet Technology HK”), a Hong Kong company.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Cnet Technology HK is the sole shareholder of Shenzhen Shangye Consulting Services Co., Ltd. (“Shenzhen Shangye”), incorporated in the People’s Republic of China (the “PRC”).</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China Net HK is the sole shareholder of Rise King Century Technology Development (Beijing) Co., Ltd., a wholly foreign-owned enterprise (“WFOE”), established in the PRC.</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WFOE is the sole shareholder of ChinaNet Online Holdings Co., Ltd. (“ChinaNet Online Holdings”), and the sole shareholder of ChinaNet Online (Guangdong) Holdings Co., Ltd. (“ChinaNet Online Guangdong Holdings”), each of which is incorporated in the PRC.</w:t>
      </w:r>
    </w:p>
    <w:p>
      <w:pPr>
        <w:spacing w:after="0" w:line="1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Through a series of contractual agreements (the “VIE agreements”) between the WFOE and Business Opportunity Online (as defined below) and Beijing CNET Online (as defined below) (Business Opportunity Online and Beijing CNET Online, collectively, the “VIEs”), the Company, through the WFOE, has the power to direct activities of the VIEs that most significantly impact the economic performance of the VIEs and the obligation to absorb the losses and the right to receive benefits of the VIEs that could potentially be significant to the VIEs in a manner that does not violate the related PRC laws. As such, the WFOE is deemed to be the primary beneficiary of the VIEs, that are parties to the relevant VIE agreements, for accounting purposes only, which serves the purpose of consolidating the VIEs’ operating results in the preparation of the Company’s consolidated financial statements under the U.S. GAAP.</w:t>
      </w:r>
    </w:p>
    <w:p>
      <w:pPr>
        <w:spacing w:after="0" w:line="173"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Opportunity Online (Beijing) Network Technology Co., Ltd. (“Business Opportunity Online”), incorporated in the PRC.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CNET Online Advertising Co., Ltd. (“Beijing CNET Online”), incorporated in the PRC.</w:t>
      </w:r>
    </w:p>
    <w:p>
      <w:pPr>
        <w:spacing w:after="0" w:line="22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Business Opportunity Online is the sole shareholder of Beijing Chuang Fu Tian Xia Network Technology Co., Ltd. (“Beijing Chuang Fu Tian Xia”), the sole shareholder of Business Opportunity Online (Hubei) Network Technology Co., Ltd. (“Business Opportunity Online Hubei”), and the sole shareholder of ChinaNet Online (Guangdong) Technology Co., Ltd. (“ChinaNet Online Guangdong Technology”), each of which is incorporated in the PRC.</w:t>
      </w:r>
    </w:p>
    <w:p>
      <w:pPr>
        <w:spacing w:after="0" w:line="1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ChinaNet Online Guangdong Technology is the 51% shareholder of Guangzhou Zhongtian Hexin Xibao Technology Co., Ltd. (“Guangzhou Zhongtian”), incorporated in the PRC.</w:t>
      </w:r>
    </w:p>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156845</wp:posOffset>
            </wp:positionV>
            <wp:extent cx="7046595" cy="711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0">
                      <a:extLst>
                        <a:ext uri="{28A0092B-C50C-407E-A947-70E740481C1C}"/>
                      </a:extLst>
                    </a:blip>
                    <a:srcRect/>
                    <a:stretch>
                      <a:fillRect/>
                    </a:stretch>
                  </pic:blipFill>
                  <pic:spPr bwMode="auto">
                    <a:xfrm>
                      <a:off x="0" y="0"/>
                      <a:ext cx="704659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of ZW Data Action Technologies Inc. (“the Company”) on Form S-8 (File No. 333-178269) filed with the Securities and Exchange Commission (“SEC”) on December 1, 2011, Form S-8 (File No. 333-206979) filed with the SEC on September 16, 2015, Form S-8 (File No. 333-252776) filed with the SEC on February 5, 2021, Form S-3 (File No. 333-228061), as amended, initially filed with the SEC on October 30, 2018, Form S-3 (File No. 333-254339), as amended, initially filed with the SEC on March 16, 2021, Form S-3 (File No. 276448) filed with the SEC on January 10, 2024, Form S-8 (File No. 276655) filed with the SEC on January 23, 2024 and Form S-8 (File No. 333-285909) filed with the SEC on March 19, 2025, of our report dated March 31, 2026, with respect to our audits of the consolidated financial statements of the Company as at December 31, 2025 and for the year then ended, which report is included in the Annual Report on Form 10-K of the Company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ARK Pro CPA &amp; 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ARK PRO CPA &amp; 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Firm ID: 3299</w:t>
      </w:r>
    </w:p>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Handong Cheng, the Chief Executive Officer of the registrant, certify that:</w:t>
      </w:r>
    </w:p>
    <w:p>
      <w:pPr>
        <w:spacing w:after="0" w:line="225" w:lineRule="exact"/>
        <w:rPr>
          <w:sz w:val="20"/>
          <w:szCs w:val="20"/>
          <w:color w:val="auto"/>
        </w:rPr>
      </w:pPr>
    </w:p>
    <w:p>
      <w:pPr>
        <w:ind w:left="1340" w:hanging="700"/>
        <w:spacing w:after="0"/>
        <w:tabs>
          <w:tab w:leader="none" w:pos="13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ZW Data Action Technologies Inc., for the fiscal year ended December 31, 2025.</w:t>
      </w:r>
    </w:p>
    <w:p>
      <w:pPr>
        <w:spacing w:after="0" w:line="236" w:lineRule="exact"/>
        <w:rPr>
          <w:rFonts w:ascii="Times New Roman" w:cs="Times New Roman" w:eastAsia="Times New Roman" w:hAnsi="Times New Roman"/>
          <w:sz w:val="17"/>
          <w:szCs w:val="17"/>
          <w:color w:val="auto"/>
        </w:rPr>
      </w:pPr>
    </w:p>
    <w:p>
      <w:pPr>
        <w:ind w:right="60" w:firstLine="640"/>
        <w:spacing w:after="0" w:line="266" w:lineRule="auto"/>
        <w:tabs>
          <w:tab w:leader="none" w:pos="13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40"/>
        <w:spacing w:after="0" w:line="282" w:lineRule="auto"/>
        <w:tabs>
          <w:tab w:leader="none" w:pos="135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60" w:firstLine="640"/>
        <w:spacing w:after="0" w:line="276" w:lineRule="auto"/>
        <w:tabs>
          <w:tab w:leader="none" w:pos="135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15a-15(f)) for the registrant and have:</w:t>
      </w:r>
    </w:p>
    <w:p>
      <w:pPr>
        <w:spacing w:after="0" w:line="206" w:lineRule="exact"/>
        <w:rPr>
          <w:rFonts w:ascii="Times New Roman" w:cs="Times New Roman" w:eastAsia="Times New Roman" w:hAnsi="Times New Roman"/>
          <w:sz w:val="17"/>
          <w:szCs w:val="17"/>
          <w:color w:val="auto"/>
        </w:rPr>
      </w:pPr>
    </w:p>
    <w:p>
      <w:pPr>
        <w:ind w:right="260" w:firstLine="1288"/>
        <w:spacing w:after="0" w:line="266" w:lineRule="auto"/>
        <w:tabs>
          <w:tab w:leader="none" w:pos="20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1288"/>
        <w:spacing w:after="0" w:line="266" w:lineRule="auto"/>
        <w:tabs>
          <w:tab w:leader="none" w:pos="20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1288"/>
        <w:spacing w:after="0" w:line="312" w:lineRule="auto"/>
        <w:tabs>
          <w:tab w:leader="none" w:pos="2006"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right="380" w:firstLine="1288"/>
        <w:spacing w:after="0" w:line="266" w:lineRule="auto"/>
        <w:tabs>
          <w:tab w:leader="none" w:pos="20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40"/>
        <w:spacing w:after="0" w:line="312" w:lineRule="auto"/>
        <w:tabs>
          <w:tab w:leader="none" w:pos="135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right="340" w:firstLine="1288"/>
        <w:spacing w:after="0" w:line="282" w:lineRule="auto"/>
        <w:tabs>
          <w:tab w:leader="none" w:pos="20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720" w:firstLine="1288"/>
        <w:spacing w:after="0" w:line="282" w:lineRule="auto"/>
        <w:tabs>
          <w:tab w:leader="none" w:pos="201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ectPr>
          <w:pgSz w:w="11900" w:h="16838" w:orient="portrait"/>
          <w:cols w:equalWidth="0" w:num="1">
            <w:col w:w="11080"/>
          </w:cols>
          <w:pgMar w:left="48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Handong Cheng , the Acting Chief Financial Officer of the registrant, certify that:</w:t>
      </w:r>
    </w:p>
    <w:p>
      <w:pPr>
        <w:spacing w:after="0" w:line="225" w:lineRule="exact"/>
        <w:rPr>
          <w:sz w:val="20"/>
          <w:szCs w:val="20"/>
          <w:color w:val="auto"/>
        </w:rPr>
      </w:pPr>
    </w:p>
    <w:p>
      <w:pPr>
        <w:ind w:left="1340" w:hanging="700"/>
        <w:spacing w:after="0"/>
        <w:tabs>
          <w:tab w:leader="none" w:pos="13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ZW Data Action Technologies Inc., for the fiscal year ended December 31, 2025.</w:t>
      </w:r>
    </w:p>
    <w:p>
      <w:pPr>
        <w:spacing w:after="0" w:line="236" w:lineRule="exact"/>
        <w:rPr>
          <w:rFonts w:ascii="Times New Roman" w:cs="Times New Roman" w:eastAsia="Times New Roman" w:hAnsi="Times New Roman"/>
          <w:sz w:val="17"/>
          <w:szCs w:val="17"/>
          <w:color w:val="auto"/>
        </w:rPr>
      </w:pPr>
    </w:p>
    <w:p>
      <w:pPr>
        <w:ind w:right="60" w:firstLine="640"/>
        <w:spacing w:after="0" w:line="266" w:lineRule="auto"/>
        <w:tabs>
          <w:tab w:leader="none" w:pos="13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40"/>
        <w:spacing w:after="0" w:line="282" w:lineRule="auto"/>
        <w:tabs>
          <w:tab w:leader="none" w:pos="13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60" w:firstLine="640"/>
        <w:spacing w:after="0" w:line="276" w:lineRule="auto"/>
        <w:tabs>
          <w:tab w:leader="none" w:pos="135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15a-15(f)) for the registrant and have:</w:t>
      </w:r>
    </w:p>
    <w:p>
      <w:pPr>
        <w:spacing w:after="0" w:line="206" w:lineRule="exact"/>
        <w:rPr>
          <w:rFonts w:ascii="Times New Roman" w:cs="Times New Roman" w:eastAsia="Times New Roman" w:hAnsi="Times New Roman"/>
          <w:sz w:val="17"/>
          <w:szCs w:val="17"/>
          <w:color w:val="auto"/>
        </w:rPr>
      </w:pPr>
    </w:p>
    <w:p>
      <w:pPr>
        <w:ind w:right="260" w:firstLine="1288"/>
        <w:spacing w:after="0" w:line="266" w:lineRule="auto"/>
        <w:tabs>
          <w:tab w:leader="none" w:pos="20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1288"/>
        <w:spacing w:after="0" w:line="266" w:lineRule="auto"/>
        <w:tabs>
          <w:tab w:leader="none" w:pos="20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1288"/>
        <w:spacing w:after="0" w:line="312" w:lineRule="auto"/>
        <w:tabs>
          <w:tab w:leader="none" w:pos="200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right="380" w:firstLine="1288"/>
        <w:spacing w:after="0" w:line="266" w:lineRule="auto"/>
        <w:tabs>
          <w:tab w:leader="none" w:pos="20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60" w:firstLine="640"/>
        <w:spacing w:after="0" w:line="312" w:lineRule="auto"/>
        <w:tabs>
          <w:tab w:leader="none" w:pos="135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right="340" w:firstLine="1288"/>
        <w:spacing w:after="0" w:line="282" w:lineRule="auto"/>
        <w:tabs>
          <w:tab w:leader="none" w:pos="200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760" w:firstLine="1288"/>
        <w:spacing w:after="0" w:line="282" w:lineRule="auto"/>
        <w:tabs>
          <w:tab w:leader="none" w:pos="201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Acting Chief Financial Officer (principal accounting and financial officer)</w:t>
      </w:r>
    </w:p>
    <w:p>
      <w:pPr>
        <w:sectPr>
          <w:pgSz w:w="11900" w:h="16838" w:orient="portrait"/>
          <w:cols w:equalWidth="0" w:num="1">
            <w:col w:w="11080"/>
          </w:cols>
          <w:pgMar w:left="480" w:top="117"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 Oxley Act of 2002</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ZW Data Action Technologies Inc. (the “Company”), on Form 10-K for the year ended December 31, 2025 as filed with the Securities and Exchange Commission (“SEC”) on the date hereof (the “Report”), each of the undersigned of the Company, certifies, pursuant to 18 U.S.C. §1350, as adopted pursuant to Section 906 of the Sarbanes-Oxley Act of 2002, that:</w:t>
      </w:r>
    </w:p>
    <w:p>
      <w:pPr>
        <w:spacing w:after="0" w:line="176" w:lineRule="exact"/>
        <w:rPr>
          <w:sz w:val="20"/>
          <w:szCs w:val="20"/>
          <w:color w:val="auto"/>
        </w:rPr>
      </w:pPr>
    </w:p>
    <w:p>
      <w:pPr>
        <w:ind w:left="1340" w:hanging="700"/>
        <w:spacing w:after="0"/>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in all material respects,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206" w:lineRule="exact"/>
        <w:rPr>
          <w:rFonts w:ascii="Times New Roman" w:cs="Times New Roman" w:eastAsia="Times New Roman" w:hAnsi="Times New Roman"/>
          <w:sz w:val="18"/>
          <w:szCs w:val="18"/>
          <w:color w:val="auto"/>
        </w:rPr>
      </w:pPr>
    </w:p>
    <w:p>
      <w:pPr>
        <w:ind w:left="1340" w:hanging="700"/>
        <w:spacing w:after="0"/>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Handong 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Acting Chief Financial Officer (principal accounting and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sectPr>
      <w:pgSz w:w="11900" w:h="16838" w:orient="portrait"/>
      <w:cols w:equalWidth="0" w:num="1">
        <w:col w:w="11080"/>
      </w:cols>
      <w:pgMar w:left="48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lowerRoman"/>
      <w:start w:val="3"/>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upperLetter"/>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upperLetter"/>
      <w:start w:val="2"/>
    </w:lvl>
  </w:abstractNum>
  <w:abstractNum w:abstractNumId="19">
    <w:nsid w:val="57E4CCAF"/>
    <w:multiLevelType w:val="hybridMultilevel"/>
    <w:lvl w:ilvl="0">
      <w:lvlJc w:val="left"/>
      <w:lvlText w:val="(%1)"/>
      <w:numFmt w:val="decimal"/>
      <w:start w:val="1"/>
    </w:lvl>
    <w:lvl w:ilvl="1">
      <w:lvlJc w:val="left"/>
      <w:lvlText w:val="-"/>
      <w:numFmt w:val="bullet"/>
      <w:start w:val="1"/>
    </w:lvl>
  </w:abstractNum>
  <w:abstractNum w:abstractNumId="20">
    <w:nsid w:val="7A6D8D3C"/>
    <w:multiLevelType w:val="hybridMultilevel"/>
    <w:lvl w:ilvl="0">
      <w:lvlJc w:val="left"/>
      <w:lvlText w:val="(%1)"/>
      <w:numFmt w:val="decimal"/>
      <w:start w:val="3"/>
    </w:lvl>
    <w:lvl w:ilvl="1">
      <w:lvlJc w:val="left"/>
      <w:lvlText w:val="-"/>
      <w:numFmt w:val="bullet"/>
      <w:start w:val="1"/>
    </w:lvl>
  </w:abstractNum>
  <w:abstractNum w:abstractNumId="21">
    <w:nsid w:val="4B588F54"/>
    <w:multiLevelType w:val="hybridMultilevel"/>
    <w:lvl w:ilvl="0">
      <w:lvlJc w:val="left"/>
      <w:lvlText w:val="(%1)"/>
      <w:numFmt w:val="decimal"/>
      <w:start w:val="4"/>
    </w:lvl>
    <w:lvl w:ilvl="1">
      <w:lvlJc w:val="left"/>
      <w:lvlText w:val="-"/>
      <w:numFmt w:val="bullet"/>
      <w:start w:val="1"/>
    </w:lvl>
  </w:abstractNum>
  <w:abstractNum w:abstractNumId="22">
    <w:nsid w:val="542289EC"/>
    <w:multiLevelType w:val="hybridMultilevel"/>
    <w:lvl w:ilvl="0">
      <w:lvlJc w:val="left"/>
      <w:lvlText w:val="%1."/>
      <w:numFmt w:val="upperLetter"/>
      <w:start w:val="3"/>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lowerLetter"/>
      <w:start w:val="1"/>
    </w:lvl>
    <w:lvl w:ilvl="1">
      <w:lvlJc w:val="left"/>
      <w:lvlText w:val="(%2)"/>
      <w:numFmt w:val="decimal"/>
      <w:start w:val="1"/>
    </w:lvl>
  </w:abstractNum>
  <w:abstractNum w:abstractNumId="29">
    <w:nsid w:val="749ABB43"/>
    <w:multiLevelType w:val="hybridMultilevel"/>
    <w:lvl w:ilvl="0">
      <w:lvlJc w:val="left"/>
      <w:lvlText w:val="%1"/>
      <w:numFmt w:val="decimal"/>
      <w:start w:val="14"/>
    </w:lvl>
  </w:abstractNum>
  <w:abstractNum w:abstractNumId="30">
    <w:nsid w:val="3DC240FB"/>
    <w:multiLevelType w:val="hybridMultilevel"/>
    <w:lvl w:ilvl="0">
      <w:lvlJc w:val="left"/>
      <w:lvlText w:val="%1"/>
      <w:numFmt w:val="decimal"/>
      <w:start w:val="19"/>
    </w:lvl>
  </w:abstractNum>
  <w:abstractNum w:abstractNumId="31">
    <w:nsid w:val="1BA026FA"/>
    <w:multiLevelType w:val="hybridMultilevel"/>
    <w:lvl w:ilvl="0">
      <w:lvlJc w:val="left"/>
      <w:lvlText w:val="%1"/>
      <w:numFmt w:val="decimal"/>
      <w:start w:val="97"/>
    </w:lvl>
  </w:abstractNum>
  <w:abstractNum w:abstractNumId="32">
    <w:nsid w:val="79A1DEAA"/>
    <w:multiLevelType w:val="hybridMultilevel"/>
    <w:lvl w:ilvl="0">
      <w:lvlJc w:val="left"/>
      <w:lvlText w:val="%1"/>
      <w:numFmt w:val="decimal"/>
      <w:start w:val="101"/>
    </w:lvl>
  </w:abstractNum>
  <w:abstractNum w:abstractNumId="33">
    <w:nsid w:val="75C6C33A"/>
    <w:multiLevelType w:val="hybridMultilevel"/>
    <w:lvl w:ilvl="0">
      <w:lvlJc w:val="left"/>
      <w:lvlText w:val="%1"/>
      <w:numFmt w:val="decimal"/>
      <w:start w:val="104"/>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decimal"/>
      <w:start w:val="2"/>
    </w:lvl>
  </w:abstractNum>
  <w:abstractNum w:abstractNumId="39">
    <w:nsid w:val="23F9C13C"/>
    <w:multiLevelType w:val="hybridMultilevel"/>
    <w:lvl w:ilvl="0">
      <w:lvlJc w:val="left"/>
      <w:lvlText w:val="%1."/>
      <w:numFmt w:val="decimal"/>
      <w:start w:val="3"/>
    </w:lvl>
  </w:abstractNum>
  <w:abstractNum w:abstractNumId="40">
    <w:nsid w:val="649BB77C"/>
    <w:multiLevelType w:val="hybridMultilevel"/>
    <w:lvl w:ilvl="0">
      <w:lvlJc w:val="left"/>
      <w:lvlText w:val="%1."/>
      <w:numFmt w:val="decimal"/>
      <w:start w:val="4"/>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5"/>
    </w:lvl>
  </w:abstractNum>
  <w:abstractNum w:abstractNumId="43">
    <w:nsid w:val="1CF10FD8"/>
    <w:multiLevelType w:val="hybridMultilevel"/>
    <w:lvl w:ilvl="0">
      <w:lvlJc w:val="left"/>
      <w:lvlText w:val="%1)"/>
      <w:numFmt w:val="lowerLetter"/>
      <w:start w:val="6"/>
    </w:lvl>
  </w:abstractNum>
  <w:abstractNum w:abstractNumId="44">
    <w:nsid w:val="180115BE"/>
    <w:multiLevelType w:val="hybridMultilevel"/>
    <w:lvl w:ilvl="0">
      <w:lvlJc w:val="left"/>
      <w:lvlText w:val="%1)"/>
      <w:numFmt w:val="lowerLetter"/>
      <w:start w:val="9"/>
    </w:lvl>
  </w:abstractNum>
  <w:abstractNum w:abstractNumId="45">
    <w:nsid w:val="235BA861"/>
    <w:multiLevelType w:val="hybridMultilevel"/>
    <w:lvl w:ilvl="0">
      <w:lvlJc w:val="left"/>
      <w:lvlText w:val="%1)"/>
      <w:numFmt w:val="lowerLetter"/>
      <w:start w:val="12"/>
    </w:lvl>
  </w:abstractNum>
  <w:abstractNum w:abstractNumId="46">
    <w:nsid w:val="47398C89"/>
    <w:multiLevelType w:val="hybridMultilevel"/>
    <w:lvl w:ilvl="0">
      <w:lvlJc w:val="left"/>
      <w:lvlText w:val="%1)"/>
      <w:numFmt w:val="lowerLetter"/>
      <w:start w:val="14"/>
    </w:lvl>
  </w:abstractNum>
  <w:abstractNum w:abstractNumId="47">
    <w:nsid w:val="354FE9F9"/>
    <w:multiLevelType w:val="hybridMultilevel"/>
    <w:lvl w:ilvl="0">
      <w:lvlJc w:val="left"/>
      <w:lvlText w:val="%1)"/>
      <w:numFmt w:val="lowerLetter"/>
      <w:start w:val="17"/>
    </w:lvl>
  </w:abstractNum>
  <w:abstractNum w:abstractNumId="48">
    <w:nsid w:val="15B5AF5C"/>
    <w:multiLevelType w:val="hybridMultilevel"/>
    <w:lvl w:ilvl="0">
      <w:lvlJc w:val="left"/>
      <w:lvlText w:val="%1)"/>
      <w:numFmt w:val="lowerLetter"/>
      <w:start w:val="19"/>
    </w:lvl>
  </w:abstractNum>
  <w:abstractNum w:abstractNumId="49">
    <w:nsid w:val="741226BB"/>
    <w:multiLevelType w:val="hybridMultilevel"/>
    <w:lvl w:ilvl="0">
      <w:lvlJc w:val="left"/>
      <w:lvlText w:val="%1)"/>
      <w:numFmt w:val="lowerLetter"/>
      <w:start w:val="23"/>
    </w:lvl>
  </w:abstractNum>
  <w:abstractNum w:abstractNumId="50">
    <w:nsid w:val="D34B6A8"/>
    <w:multiLevelType w:val="hybridMultilevel"/>
    <w:lvl w:ilvl="0">
      <w:lvlJc w:val="left"/>
      <w:lvlText w:val="%1"/>
      <w:numFmt w:val="lowerRoman"/>
      <w:start w:val="1"/>
    </w:lvl>
    <w:lvl w:ilvl="1">
      <w:lvlJc w:val="left"/>
      <w:lvlText w:val="(%2)"/>
      <w:numFmt w:val="lowerLetter"/>
      <w:start w:val="1"/>
    </w:lvl>
  </w:abstractNum>
  <w:abstractNum w:abstractNumId="51">
    <w:nsid w:val="10233C99"/>
    <w:multiLevelType w:val="hybridMultilevel"/>
    <w:lvl w:ilvl="0">
      <w:lvlJc w:val="left"/>
      <w:lvlText w:val="%1)"/>
      <w:numFmt w:val="lowerRoman"/>
      <w:start w:val="10"/>
    </w:lvl>
    <w:lvl w:ilvl="1">
      <w:lvlJc w:val="left"/>
      <w:lvlText w:val="%2"/>
      <w:numFmt w:val="lowerLetter"/>
      <w:start w:val="1"/>
    </w:lvl>
  </w:abstractNum>
  <w:abstractNum w:abstractNumId="52">
    <w:nsid w:val="3F6AB60F"/>
    <w:multiLevelType w:val="hybridMultilevel"/>
    <w:lvl w:ilvl="0">
      <w:lvlJc w:val="left"/>
      <w:lvlText w:val="%1)"/>
      <w:numFmt w:val="lowerLetter"/>
      <w:start w:val="25"/>
    </w:lvl>
  </w:abstractNum>
  <w:abstractNum w:abstractNumId="53">
    <w:nsid w:val="61574095"/>
    <w:multiLevelType w:val="hybridMultilevel"/>
    <w:lvl w:ilvl="0">
      <w:lvlJc w:val="left"/>
      <w:lvlText w:val="%1."/>
      <w:numFmt w:val="decimal"/>
      <w:start w:val="11"/>
    </w:lvl>
  </w:abstractNum>
  <w:abstractNum w:abstractNumId="54">
    <w:nsid w:val="7E0C57B1"/>
    <w:multiLevelType w:val="hybridMultilevel"/>
    <w:lvl w:ilvl="0">
      <w:lvlJc w:val="left"/>
      <w:lvlText w:val="%1."/>
      <w:numFmt w:val="decimal"/>
      <w:start w:val="12"/>
    </w:lvl>
    <w:lvl w:ilvl="1">
      <w:lvlJc w:val="left"/>
      <w:lvlText w:val="%2)"/>
      <w:numFmt w:val="decimal"/>
      <w:start w:val="1"/>
    </w:lvl>
  </w:abstractNum>
  <w:abstractNum w:abstractNumId="55">
    <w:nsid w:val="77AE35EB"/>
    <w:multiLevelType w:val="hybridMultilevel"/>
    <w:lvl w:ilvl="0">
      <w:lvlJc w:val="left"/>
      <w:lvlText w:val="%1)"/>
      <w:numFmt w:val="decimal"/>
      <w:start w:val="1"/>
    </w:lvl>
    <w:lvl w:ilvl="1">
      <w:lvlJc w:val="left"/>
      <w:lvlText w:val="●"/>
      <w:numFmt w:val="bullet"/>
      <w:start w:val="1"/>
    </w:lvl>
  </w:abstractNum>
  <w:abstractNum w:abstractNumId="56">
    <w:nsid w:val="579BE4F1"/>
    <w:multiLevelType w:val="hybridMultilevel"/>
    <w:lvl w:ilvl="0">
      <w:lvlJc w:val="left"/>
      <w:lvlText w:val="%1."/>
      <w:numFmt w:val="decimal"/>
      <w:start w:val="13"/>
    </w:lvl>
  </w:abstractNum>
  <w:abstractNum w:abstractNumId="57">
    <w:nsid w:val="310C50B3"/>
    <w:multiLevelType w:val="hybridMultilevel"/>
    <w:lvl w:ilvl="0">
      <w:lvlJc w:val="left"/>
      <w:lvlText w:val="%1."/>
      <w:numFmt w:val="decimal"/>
      <w:start w:val="15"/>
    </w:lvl>
  </w:abstractNum>
  <w:abstractNum w:abstractNumId="58">
    <w:nsid w:val="5FF87E05"/>
    <w:multiLevelType w:val="hybridMultilevel"/>
    <w:lvl w:ilvl="0">
      <w:lvlJc w:val="left"/>
      <w:lvlText w:val="%1."/>
      <w:numFmt w:val="decimal"/>
      <w:start w:val="17"/>
    </w:lvl>
  </w:abstractNum>
  <w:abstractNum w:abstractNumId="59">
    <w:nsid w:val="2F305DEF"/>
    <w:multiLevelType w:val="hybridMultilevel"/>
    <w:lvl w:ilvl="0">
      <w:lvlJc w:val="left"/>
      <w:lvlText w:val="%1."/>
      <w:numFmt w:val="decimal"/>
      <w:start w:val="18"/>
    </w:lvl>
  </w:abstractNum>
  <w:abstractNum w:abstractNumId="60">
    <w:nsid w:val="25A70BF7"/>
    <w:multiLevelType w:val="hybridMultilevel"/>
    <w:lvl w:ilvl="0">
      <w:lvlJc w:val="left"/>
      <w:lvlText w:val="%1."/>
      <w:numFmt w:val="decimal"/>
      <w:start w:val="20"/>
    </w:lvl>
  </w:abstractNum>
  <w:abstractNum w:abstractNumId="61">
    <w:nsid w:val="1DBABF00"/>
    <w:multiLevelType w:val="hybridMultilevel"/>
    <w:lvl w:ilvl="0">
      <w:lvlJc w:val="left"/>
      <w:lvlText w:val="%1."/>
      <w:numFmt w:val="decimal"/>
      <w:start w:val="21"/>
    </w:lvl>
  </w:abstractNum>
  <w:abstractNum w:abstractNumId="62">
    <w:nsid w:val="4AD084E9"/>
    <w:multiLevelType w:val="hybridMultilevel"/>
    <w:lvl w:ilvl="0">
      <w:lvlJc w:val="left"/>
      <w:lvlText w:val="%1"/>
      <w:numFmt w:val="decimal"/>
      <w:start w:val="1"/>
    </w:lvl>
    <w:lvl w:ilvl="1">
      <w:lvlJc w:val="left"/>
      <w:lvlText w:val="(%2)"/>
      <w:numFmt w:val="decimal"/>
      <w:start w:val="1"/>
    </w:lvl>
  </w:abstractNum>
  <w:abstractNum w:abstractNumId="63">
    <w:nsid w:val="1F48EAA1"/>
    <w:multiLevelType w:val="hybridMultilevel"/>
    <w:lvl w:ilvl="0">
      <w:lvlJc w:val="left"/>
      <w:lvlText w:val="%1."/>
      <w:numFmt w:val="decimal"/>
      <w:start w:val="22"/>
    </w:lvl>
    <w:lvl w:ilvl="1">
      <w:lvlJc w:val="left"/>
      <w:lvlText w:val="%2"/>
      <w:numFmt w:val="decimal"/>
      <w:start w:val="1"/>
    </w:lvl>
  </w:abstractNum>
  <w:abstractNum w:abstractNumId="64">
    <w:nsid w:val="1381823A"/>
    <w:multiLevelType w:val="hybridMultilevel"/>
    <w:lvl w:ilvl="0">
      <w:lvlJc w:val="left"/>
      <w:lvlText w:val="%1."/>
      <w:numFmt w:val="decimal"/>
      <w:start w:val="22"/>
    </w:lvl>
    <w:lvl w:ilvl="1">
      <w:lvlJc w:val="left"/>
      <w:lvlText w:val="**"/>
      <w:numFmt w:val="bullet"/>
      <w:start w:val="1"/>
    </w:lvl>
  </w:abstractNum>
  <w:abstractNum w:abstractNumId="65">
    <w:nsid w:val="5DB70AE5"/>
    <w:multiLevelType w:val="hybridMultilevel"/>
    <w:lvl w:ilvl="0">
      <w:lvlJc w:val="left"/>
      <w:lvlText w:val="%1."/>
      <w:numFmt w:val="decimal"/>
      <w:start w:val="24"/>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7" Type="http://schemas.openxmlformats.org/officeDocument/2006/relationships/image" Target="media/image85.png"/><Relationship Id="rId123" Type="http://schemas.openxmlformats.org/officeDocument/2006/relationships/image" Target="media/image86.png"/><Relationship Id="rId139" Type="http://schemas.openxmlformats.org/officeDocument/2006/relationships/image" Target="media/image87.png"/><Relationship Id="rId163" Type="http://schemas.openxmlformats.org/officeDocument/2006/relationships/image" Target="media/image88.png"/><Relationship Id="rId165" Type="http://schemas.openxmlformats.org/officeDocument/2006/relationships/image" Target="media/image89.png"/><Relationship Id="rId166" Type="http://schemas.openxmlformats.org/officeDocument/2006/relationships/image" Target="media/image90.png"/><Relationship Id="rId167" Type="http://schemas.openxmlformats.org/officeDocument/2006/relationships/image" Target="media/image91.png"/><Relationship Id="rId168" Type="http://schemas.openxmlformats.org/officeDocument/2006/relationships/image" Target="media/image92.png"/><Relationship Id="rId169" Type="http://schemas.openxmlformats.org/officeDocument/2006/relationships/image" Target="media/image93.jpeg"/><Relationship Id="rId170" Type="http://schemas.openxmlformats.org/officeDocument/2006/relationships/image" Target="media/image94.jpeg"/><Relationship Id="rId171" Type="http://schemas.openxmlformats.org/officeDocument/2006/relationships/image" Target="media/image95.png"/><Relationship Id="rId172" Type="http://schemas.openxmlformats.org/officeDocument/2006/relationships/image" Target="media/image96.jpeg"/><Relationship Id="rId173" Type="http://schemas.openxmlformats.org/officeDocument/2006/relationships/image" Target="media/image97.png"/><Relationship Id="rId174" Type="http://schemas.openxmlformats.org/officeDocument/2006/relationships/image" Target="media/image98.jpeg"/><Relationship Id="rId175" Type="http://schemas.openxmlformats.org/officeDocument/2006/relationships/image" Target="media/image99.png"/><Relationship Id="rId176" Type="http://schemas.openxmlformats.org/officeDocument/2006/relationships/image" Target="media/image100.png"/><Relationship Id="rId177" Type="http://schemas.openxmlformats.org/officeDocument/2006/relationships/image" Target="media/image101.png"/><Relationship Id="rId178" Type="http://schemas.openxmlformats.org/officeDocument/2006/relationships/image" Target="media/image102.png"/><Relationship Id="rId179" Type="http://schemas.openxmlformats.org/officeDocument/2006/relationships/image" Target="media/image103.png"/><Relationship Id="rId180" Type="http://schemas.openxmlformats.org/officeDocument/2006/relationships/image" Target="media/image104.png"/><Relationship Id="rId181" Type="http://schemas.openxmlformats.org/officeDocument/2006/relationships/image" Target="media/image105.png"/><Relationship Id="rId182" Type="http://schemas.openxmlformats.org/officeDocument/2006/relationships/image" Target="media/image106.png"/><Relationship Id="rId183" Type="http://schemas.openxmlformats.org/officeDocument/2006/relationships/image" Target="media/image107.png"/><Relationship Id="rId184" Type="http://schemas.openxmlformats.org/officeDocument/2006/relationships/image" Target="media/image108.png"/><Relationship Id="rId185" Type="http://schemas.openxmlformats.org/officeDocument/2006/relationships/image" Target="media/image109.png"/><Relationship Id="rId186" Type="http://schemas.openxmlformats.org/officeDocument/2006/relationships/image" Target="media/image110.png"/><Relationship Id="rId187" Type="http://schemas.openxmlformats.org/officeDocument/2006/relationships/image" Target="media/image111.png"/><Relationship Id="rId188" Type="http://schemas.openxmlformats.org/officeDocument/2006/relationships/image" Target="media/image112.png"/><Relationship Id="rId189" Type="http://schemas.openxmlformats.org/officeDocument/2006/relationships/image" Target="media/image113.png"/><Relationship Id="rId190" Type="http://schemas.openxmlformats.org/officeDocument/2006/relationships/image" Target="media/image114.png"/><Relationship Id="rId191" Type="http://schemas.openxmlformats.org/officeDocument/2006/relationships/image" Target="media/image115.png"/><Relationship Id="rId192" Type="http://schemas.openxmlformats.org/officeDocument/2006/relationships/image" Target="media/image116.png"/><Relationship Id="rId193" Type="http://schemas.openxmlformats.org/officeDocument/2006/relationships/image" Target="media/image117.png"/><Relationship Id="rId194" Type="http://schemas.openxmlformats.org/officeDocument/2006/relationships/image" Target="media/image118.png"/><Relationship Id="rId195" Type="http://schemas.openxmlformats.org/officeDocument/2006/relationships/image" Target="media/image119.png"/><Relationship Id="rId196" Type="http://schemas.openxmlformats.org/officeDocument/2006/relationships/image" Target="media/image120.png"/><Relationship Id="rId197" Type="http://schemas.openxmlformats.org/officeDocument/2006/relationships/image" Target="media/image121.png"/><Relationship Id="rId198" Type="http://schemas.openxmlformats.org/officeDocument/2006/relationships/image" Target="media/image122.png"/><Relationship Id="rId199" Type="http://schemas.openxmlformats.org/officeDocument/2006/relationships/image" Target="media/image123.png"/><Relationship Id="rId200" Type="http://schemas.openxmlformats.org/officeDocument/2006/relationships/image" Target="media/image124.png"/><Relationship Id="rId201" Type="http://schemas.openxmlformats.org/officeDocument/2006/relationships/image" Target="media/image125.png"/><Relationship Id="rId202" Type="http://schemas.openxmlformats.org/officeDocument/2006/relationships/image" Target="media/image126.png"/><Relationship Id="rId203" Type="http://schemas.openxmlformats.org/officeDocument/2006/relationships/image" Target="media/image127.png"/><Relationship Id="rId204" Type="http://schemas.openxmlformats.org/officeDocument/2006/relationships/image" Target="media/image128.png"/><Relationship Id="rId205" Type="http://schemas.openxmlformats.org/officeDocument/2006/relationships/image" Target="media/image129.png"/><Relationship Id="rId206" Type="http://schemas.openxmlformats.org/officeDocument/2006/relationships/image" Target="media/image130.png"/><Relationship Id="rId207" Type="http://schemas.openxmlformats.org/officeDocument/2006/relationships/image" Target="media/image131.png"/><Relationship Id="rId208" Type="http://schemas.openxmlformats.org/officeDocument/2006/relationships/image" Target="media/image132.png"/><Relationship Id="rId209" Type="http://schemas.openxmlformats.org/officeDocument/2006/relationships/image" Target="media/image133.png"/><Relationship Id="rId210" Type="http://schemas.openxmlformats.org/officeDocument/2006/relationships/image" Target="media/image134.jpeg"/><Relationship Id="rId92" Type="http://schemas.openxmlformats.org/officeDocument/2006/relationships/hyperlink" Target="http://www.sec.gov/Archives/edgar/data/1376321/000114420409035871/v153484_ex2-1.htm" TargetMode="External"/><Relationship Id="rId93" Type="http://schemas.openxmlformats.org/officeDocument/2006/relationships/hyperlink" Target="http://www.sec.gov/Archives/edgar/data/1376321/000114420409038775/v155556_ex2-1.htm" TargetMode="External"/><Relationship Id="rId94" Type="http://schemas.openxmlformats.org/officeDocument/2006/relationships/hyperlink" Target="http://www.sec.gov/Archives/edgar/data/1376321/000114420409035871/v153484_ex3-1.htm" TargetMode="External"/><Relationship Id="rId95" Type="http://schemas.openxmlformats.org/officeDocument/2006/relationships/hyperlink" Target="http://www.sec.gov/Archives/edgar/data/1376321/000117184316011858/exh_31.htm" TargetMode="External"/><Relationship Id="rId96" Type="http://schemas.openxmlformats.org/officeDocument/2006/relationships/hyperlink" Target="http://www.sec.gov/Archives/edgar/data/1376321/000114420409038775/v155556_ex3-1.htm" TargetMode="External"/><Relationship Id="rId97" Type="http://schemas.openxmlformats.org/officeDocument/2006/relationships/hyperlink" Target="http://www.sec.gov/Archives/edgar/data/1376321/000112178106000233/exhibit2four.htm" TargetMode="External"/><Relationship Id="rId98" Type="http://schemas.openxmlformats.org/officeDocument/2006/relationships/hyperlink" Target="http://www.sec.gov/Archives/edgar/data/1376321/000117184320007012/exh_31.htm" TargetMode="External"/><Relationship Id="rId99" Type="http://schemas.openxmlformats.org/officeDocument/2006/relationships/hyperlink" Target="http://www.sec.gov/Archives/edgar/data/1376321/000117184321004817/exh_31.htm" TargetMode="External"/><Relationship Id="rId100" Type="http://schemas.openxmlformats.org/officeDocument/2006/relationships/hyperlink" Target="http://www.sec.gov/Archives/edgar/data/1376321/000117184323000357/exh_31.htm" TargetMode="External"/><Relationship Id="rId101" Type="http://schemas.openxmlformats.org/officeDocument/2006/relationships/hyperlink" Target="http://www.sec.gov/Archives/edgar/data/1376321/000117184324005410/exh_31.htm" TargetMode="External"/><Relationship Id="rId102" Type="http://schemas.openxmlformats.org/officeDocument/2006/relationships/hyperlink" Target="http://www.sec.gov/Archives/edgar/data/1376321/000114420411025214/v220005_def14a.htm" TargetMode="External"/><Relationship Id="rId103" Type="http://schemas.openxmlformats.org/officeDocument/2006/relationships/hyperlink" Target="http://www.sec.gov/Archives/edgar/data/1376321/000117184315002349/def14a_043015.htm" TargetMode="External"/><Relationship Id="rId104" Type="http://schemas.openxmlformats.org/officeDocument/2006/relationships/hyperlink" Target="http://www.sec.gov/Archives/edgar/data/1376321/000117184318000335/exh4_1.htm" TargetMode="External"/><Relationship Id="rId105" Type="http://schemas.openxmlformats.org/officeDocument/2006/relationships/hyperlink" Target="http://www.sec.gov/Archives/edgar/data/1376321/000117184320006229/def14a_090220.htm" TargetMode="External"/><Relationship Id="rId106" Type="http://schemas.openxmlformats.org/officeDocument/2006/relationships/hyperlink" Target="http://www.sec.gov/Archives/edgar/data/1376321/000117184320008517/exh_41.htm" TargetMode="External"/><Relationship Id="rId108" Type="http://schemas.openxmlformats.org/officeDocument/2006/relationships/hyperlink" Target="http://www.sec.gov/Archives/edgar/data/1376321/000117184321001069/exh_41.htm" TargetMode="External"/><Relationship Id="rId109" Type="http://schemas.openxmlformats.org/officeDocument/2006/relationships/hyperlink" Target="http://www.sec.gov/Archives/edgar/data/1376321/000117184324005743/def14a_102224.htm" TargetMode="External"/><Relationship Id="rId110" Type="http://schemas.openxmlformats.org/officeDocument/2006/relationships/hyperlink" Target="http://www.sec.gov/ix?doc=/Archives/edgar/data/1376321/000117184325006393/cnet20251009_def14a.htm" TargetMode="External"/><Relationship Id="rId111" Type="http://schemas.openxmlformats.org/officeDocument/2006/relationships/hyperlink" Target="http://www.sec.gov/Archives/edgar/data/1376321/000114420409035871/v153484_ex10-1.htm" TargetMode="External"/><Relationship Id="rId112" Type="http://schemas.openxmlformats.org/officeDocument/2006/relationships/hyperlink" Target="http://www.sec.gov/Archives/edgar/data/1376321/000114420409035871/v153484_ex10-2.htm" TargetMode="External"/><Relationship Id="rId113" Type="http://schemas.openxmlformats.org/officeDocument/2006/relationships/hyperlink" Target="http://www.sec.gov/Archives/edgar/data/1376321/000114420409035871/v153484_ex10-3.htm" TargetMode="External"/><Relationship Id="rId114" Type="http://schemas.openxmlformats.org/officeDocument/2006/relationships/hyperlink" Target="http://www.sec.gov/Archives/edgar/data/1376321/000114420409035871/v153484_ex10-4.htm" TargetMode="External"/><Relationship Id="rId115" Type="http://schemas.openxmlformats.org/officeDocument/2006/relationships/hyperlink" Target="http://www.sec.gov/Archives/edgar/data/1376321/000114420409035871/v153484_ex10-5.htm" TargetMode="External"/><Relationship Id="rId116" Type="http://schemas.openxmlformats.org/officeDocument/2006/relationships/hyperlink" Target="http://www.sec.gov/Archives/edgar/data/1376321/000114420409035871/v153484_ex10-6.htm" TargetMode="External"/><Relationship Id="rId117" Type="http://schemas.openxmlformats.org/officeDocument/2006/relationships/hyperlink" Target="http://www.sec.gov/Archives/edgar/data/1376321/000114420409035871/v153484_ex10-7.htm" TargetMode="External"/><Relationship Id="rId118" Type="http://schemas.openxmlformats.org/officeDocument/2006/relationships/hyperlink" Target="http://www.sec.gov/Archives/edgar/data/1376321/000114420409035871/v153484_ex10-8.htm" TargetMode="External"/><Relationship Id="rId119" Type="http://schemas.openxmlformats.org/officeDocument/2006/relationships/hyperlink" Target="http://www.sec.gov/Archives/edgar/data/1376321/000114420409035871/v153484_ex10-9.htm" TargetMode="External"/><Relationship Id="rId120" Type="http://schemas.openxmlformats.org/officeDocument/2006/relationships/hyperlink" Target="http://www.sec.gov/Archives/edgar/data/1376321/000114420409035871/v153484_ex10-10.htm" TargetMode="External"/><Relationship Id="rId121" Type="http://schemas.openxmlformats.org/officeDocument/2006/relationships/hyperlink" Target="http://www.sec.gov/Archives/edgar/data/1376321/000114420409035871/v153484_ex10-11.htm" TargetMode="External"/><Relationship Id="rId122" Type="http://schemas.openxmlformats.org/officeDocument/2006/relationships/hyperlink" Target="http://www.sec.gov/Archives/edgar/data/1376321/000114420409035871/v153484_ex10-12.htm" TargetMode="External"/><Relationship Id="rId124" Type="http://schemas.openxmlformats.org/officeDocument/2006/relationships/hyperlink" Target="http://www.sec.gov/Archives/edgar/data/1376321/000114420409035871/v153484_ex10-13.htm" TargetMode="External"/><Relationship Id="rId125" Type="http://schemas.openxmlformats.org/officeDocument/2006/relationships/hyperlink" Target="http://www.sec.gov/Archives/edgar/data/1376321/000114420409035871/v153484_ex10-14.htm" TargetMode="External"/><Relationship Id="rId126" Type="http://schemas.openxmlformats.org/officeDocument/2006/relationships/hyperlink" Target="http://www.sec.gov/Archives/edgar/data/1376321/000114420409035871/v153484_ex10-15.htm" TargetMode="External"/><Relationship Id="rId127" Type="http://schemas.openxmlformats.org/officeDocument/2006/relationships/hyperlink" Target="http://www.sec.gov/Archives/edgar/data/1376321/000114420409035871/v153484_ex10-16.htm" TargetMode="External"/><Relationship Id="rId128" Type="http://schemas.openxmlformats.org/officeDocument/2006/relationships/hyperlink" Target="http://www.sec.gov/Archives/edgar/data/1376321/000114420409035871/v153484_ex10-17.htm" TargetMode="External"/><Relationship Id="rId129" Type="http://schemas.openxmlformats.org/officeDocument/2006/relationships/hyperlink" Target="http://www.sec.gov/Archives/edgar/data/1376321/000114420409035871/v153484_ex10-18.htm" TargetMode="External"/><Relationship Id="rId130" Type="http://schemas.openxmlformats.org/officeDocument/2006/relationships/hyperlink" Target="http://www.sec.gov/Archives/edgar/data/1376321/000114420409035871/v153484_ex10-19.htm" TargetMode="External"/><Relationship Id="rId131" Type="http://schemas.openxmlformats.org/officeDocument/2006/relationships/hyperlink" Target="http://www.sec.gov/Archives/edgar/data/1376321/000114420409035871/v153484_ex10-20.htm" TargetMode="External"/><Relationship Id="rId132" Type="http://schemas.openxmlformats.org/officeDocument/2006/relationships/hyperlink" Target="http://www.sec.gov/Archives/edgar/data/1376321/000114420409045965/v159087_ex10-1.htm" TargetMode="External"/><Relationship Id="rId133" Type="http://schemas.openxmlformats.org/officeDocument/2006/relationships/hyperlink" Target="http://www.sec.gov/Archives/edgar/data/1376321/000114420409045965/v159087_ex10-2.htm" TargetMode="External"/><Relationship Id="rId134" Type="http://schemas.openxmlformats.org/officeDocument/2006/relationships/hyperlink" Target="http://www.sec.gov/Archives/edgar/data/1376321/000114420409062830/v168092_ex99-1.htm" TargetMode="External"/><Relationship Id="rId135" Type="http://schemas.openxmlformats.org/officeDocument/2006/relationships/hyperlink" Target="http://www.sec.gov/Archives/edgar/data/1376321/000114420409062830/v168092_ex99-2.htm" TargetMode="External"/><Relationship Id="rId136" Type="http://schemas.openxmlformats.org/officeDocument/2006/relationships/hyperlink" Target="http://www.sec.gov/Archives/edgar/data/1376321/000114420409062830/v168092_ex99-3.htm" TargetMode="External"/><Relationship Id="rId137" Type="http://schemas.openxmlformats.org/officeDocument/2006/relationships/hyperlink" Target="http://www.sec.gov/Archives/edgar/data/1376321/000117184318000335/exh10_1.htm" TargetMode="External"/><Relationship Id="rId138" Type="http://schemas.openxmlformats.org/officeDocument/2006/relationships/hyperlink" Target="http://www.sec.gov/Archives/edgar/data/1376321/000117184318000335/exh10_2.htm" TargetMode="External"/><Relationship Id="rId140" Type="http://schemas.openxmlformats.org/officeDocument/2006/relationships/hyperlink" Target="http://www.sec.gov/Archives/edgar/data/1376321/000117184319005381/exh_101.htm" TargetMode="External"/><Relationship Id="rId141" Type="http://schemas.openxmlformats.org/officeDocument/2006/relationships/hyperlink" Target="http://www.sec.gov/Archives/edgar/data/1376321/000117184320000906/exh_101.htm" TargetMode="External"/><Relationship Id="rId142" Type="http://schemas.openxmlformats.org/officeDocument/2006/relationships/hyperlink" Target="http://www.sec.gov/Archives/edgar/data/1376321/000117184320000906/exh_102.htm" TargetMode="External"/><Relationship Id="rId143" Type="http://schemas.openxmlformats.org/officeDocument/2006/relationships/hyperlink" Target="http://www.sec.gov/Archives/edgar/data/1376321/000117184320008517/exh_101.htm" TargetMode="External"/><Relationship Id="rId144" Type="http://schemas.openxmlformats.org/officeDocument/2006/relationships/hyperlink" Target="http://www.sec.gov/Archives/edgar/data/1376321/000117184320008517/exh_102.htm" TargetMode="External"/><Relationship Id="rId145" Type="http://schemas.openxmlformats.org/officeDocument/2006/relationships/hyperlink" Target="http://www.sec.gov/Archives/edgar/data/1376321/000117184321001069/exh_101.htm" TargetMode="External"/><Relationship Id="rId146" Type="http://schemas.openxmlformats.org/officeDocument/2006/relationships/hyperlink" Target="http://www.sec.gov/Archives/edgar/data/1376321/000117184321001069/exh_102.htm" TargetMode="External"/><Relationship Id="rId147" Type="http://schemas.openxmlformats.org/officeDocument/2006/relationships/hyperlink" Target="http://www.sec.gov/Archives/edgar/data/1376321/000117184324004945/exh_101.htm" TargetMode="External"/><Relationship Id="rId148" Type="http://schemas.openxmlformats.org/officeDocument/2006/relationships/hyperlink" Target="http://www.sec.gov/Archives/edgar/data/1376321/000117184324005127/exh_101.htm" TargetMode="External"/><Relationship Id="rId149" Type="http://schemas.openxmlformats.org/officeDocument/2006/relationships/hyperlink" Target="http://www.sec.gov/Archives/edgar/data/1376321/000117184324005127/exh_103.htm" TargetMode="External"/><Relationship Id="rId150" Type="http://schemas.openxmlformats.org/officeDocument/2006/relationships/hyperlink" Target="http://www.sec.gov/Archives/edgar/data/1376321/000117184324005380/exh_101.htm" TargetMode="External"/><Relationship Id="rId151" Type="http://schemas.openxmlformats.org/officeDocument/2006/relationships/hyperlink" Target="http://www.sec.gov/Archives/edgar/data/1376321/000117184325000085/exh_101.htm" TargetMode="External"/><Relationship Id="rId152" Type="http://schemas.openxmlformats.org/officeDocument/2006/relationships/hyperlink" Target="http://www.sec.gov/Archives/edgar/data/1376321/000117184325000085/exh_103.htm" TargetMode="External"/><Relationship Id="rId153" Type="http://schemas.openxmlformats.org/officeDocument/2006/relationships/hyperlink" Target="http://www.sec.gov/Archives/edgar/data/1376321/000117184325000347/exh_101.htm" TargetMode="External"/><Relationship Id="rId154" Type="http://schemas.openxmlformats.org/officeDocument/2006/relationships/hyperlink" Target="http://www.sec.gov/Archives/edgar/data/1376321/000117184325000347/exh_103.htm" TargetMode="External"/><Relationship Id="rId155" Type="http://schemas.openxmlformats.org/officeDocument/2006/relationships/hyperlink" Target="http://www.sec.gov/Archives/edgar/data/1376321/000117184325001238/exh_101.htm" TargetMode="External"/><Relationship Id="rId156" Type="http://schemas.openxmlformats.org/officeDocument/2006/relationships/hyperlink" Target="http://www.sec.gov/Archives/edgar/data/1376321/000117184325003179/exh_101.htm" TargetMode="External"/><Relationship Id="rId157" Type="http://schemas.openxmlformats.org/officeDocument/2006/relationships/hyperlink" Target="http://www.sec.gov/Archives/edgar/data/1376321/000117184325003179/exh_103.htm" TargetMode="External"/><Relationship Id="rId158" Type="http://schemas.openxmlformats.org/officeDocument/2006/relationships/hyperlink" Target="http://www.sec.gov/Archives/edgar/data/1376321/000117184325003179/exh_105.htm" TargetMode="External"/><Relationship Id="rId159" Type="http://schemas.openxmlformats.org/officeDocument/2006/relationships/hyperlink" Target="http://www.sec.gov/Archives/edgar/data/1376321/000117184325005980/exh_101.htm" TargetMode="External"/><Relationship Id="rId160" Type="http://schemas.openxmlformats.org/officeDocument/2006/relationships/hyperlink" Target="http://www.sec.gov/Archives/edgar/data/1376321/000117184325006766/exh_101.htm" TargetMode="External"/><Relationship Id="rId161" Type="http://schemas.openxmlformats.org/officeDocument/2006/relationships/hyperlink" Target="http://www.sec.gov/Archives/edgar/data/1376321/000114420409065694/v169571_ex14-1.htm" TargetMode="External"/><Relationship Id="rId162" Type="http://schemas.openxmlformats.org/officeDocument/2006/relationships/hyperlink" Target="http://www.sec.gov/Archives/edgar/data/1376321/000117184325002214/ex_799931.htm" TargetMode="External"/><Relationship Id="rId164" Type="http://schemas.openxmlformats.org/officeDocument/2006/relationships/hyperlink" Target="http://www.sec.gov/Archives/edgar/data/1376321/000117184325002214/ex_7999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2026-03-31T06:44:58Z</dcterms:created>
  <dcterms:modified xsi:type="dcterms:W3CDTF">2026-03-31T06:44:58Z</dcterms:modified>
</cp:coreProperties>
</file>