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80526.htm"/>
      <w:bookmarkStart w:id="1" w:name="ksf8k_080526"/>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b/>
          <w:sz w:val="20"/>
        </w:rPr>
      </w:pPr>
      <w:r>
        <w:rPr>
          <w:b/>
          <w:sz w:val="20"/>
        </w:rPr>
        <w:t>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8_edei--DocumentType_c20260730__20"/>
      <w:bookmarkEnd w:id="2"/>
      <w:r>
        <w:rPr>
          <w:b/>
          <w:sz w:val="20"/>
        </w:rPr>
        <w:t>8-K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 OF THE</w:t>
      </w:r>
    </w:p>
    <w:p>
      <w:pPr>
        <w:pStyle w:val="TextBody"/>
        <w:bidi w:val="0"/>
        <w:spacing w:before="0" w:after="0"/>
        <w:ind w:left="0" w:right="0" w:hanging="0"/>
        <w:jc w:val="center"/>
        <w:rPr>
          <w:b/>
          <w:sz w:val="20"/>
        </w:rPr>
      </w:pPr>
      <w:r>
        <w:rPr>
          <w:b/>
          <w:sz w:val="20"/>
        </w:rP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F_edei--DocumentPeriodEndDate_c202"/>
      <w:bookmarkEnd w:id="3"/>
      <w:r>
        <w:rPr>
          <w:sz w:val="20"/>
        </w:rPr>
        <w:t>July 30,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u w:val="single"/>
        </w:rPr>
      </w:pPr>
      <w:bookmarkStart w:id="4" w:name="xdx_900_edei--EntityRegistrantName_c2026"/>
      <w:bookmarkEnd w:id="4"/>
      <w:r>
        <w:rPr>
          <w:sz w:val="20"/>
          <w:u w:val="single"/>
        </w:rPr>
        <w:t>ZW Data Action Technologies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8745" w:type="dxa"/>
        <w:jc w:val="left"/>
        <w:tblInd w:w="0" w:type="dxa"/>
        <w:tblLayout w:type="fixed"/>
        <w:tblCellMar>
          <w:top w:w="0" w:type="dxa"/>
          <w:left w:w="0" w:type="dxa"/>
          <w:bottom w:w="0" w:type="dxa"/>
          <w:right w:w="0" w:type="dxa"/>
        </w:tblCellMar>
      </w:tblPr>
      <w:tblGrid>
        <w:gridCol w:w="3635"/>
        <w:gridCol w:w="60"/>
        <w:gridCol w:w="2210"/>
        <w:gridCol w:w="60"/>
        <w:gridCol w:w="2780"/>
      </w:tblGrid>
      <w:tr>
        <w:trPr/>
        <w:tc>
          <w:tcPr>
            <w:tcW w:w="3635" w:type="dxa"/>
            <w:tcBorders/>
            <w:vAlign w:val="center"/>
          </w:tcPr>
          <w:p>
            <w:pPr>
              <w:pStyle w:val="TableContents"/>
              <w:bidi w:val="0"/>
              <w:spacing w:before="0" w:after="283"/>
              <w:jc w:val="center"/>
              <w:rPr>
                <w:sz w:val="20"/>
              </w:rPr>
            </w:pPr>
            <w:bookmarkStart w:id="5" w:name="xdx_905_edei--EntityIncorporationStateCo"/>
            <w:bookmarkEnd w:id="5"/>
            <w:r>
              <w:rPr>
                <w:sz w:val="20"/>
              </w:rPr>
              <w:t>Nevada</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bookmarkStart w:id="6" w:name="xdx_90C_edei--EntityFileNumber_c20260730"/>
            <w:bookmarkEnd w:id="6"/>
            <w:r>
              <w:rPr>
                <w:sz w:val="20"/>
              </w:rPr>
              <w:t>001-34647</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bookmarkStart w:id="7" w:name="xdx_90D_edei--EntityTaxIdentificationNum"/>
            <w:bookmarkEnd w:id="7"/>
            <w:r>
              <w:rPr>
                <w:sz w:val="20"/>
              </w:rPr>
              <w:t>20-4672080</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pPr>
      <w:r>
        <w:rPr/>
        <w:t> </w:t>
      </w:r>
    </w:p>
    <w:tbl>
      <w:tblPr>
        <w:tblW w:w="6335" w:type="dxa"/>
        <w:jc w:val="left"/>
        <w:tblInd w:w="0" w:type="dxa"/>
        <w:tblLayout w:type="fixed"/>
        <w:tblCellMar>
          <w:top w:w="0" w:type="dxa"/>
          <w:left w:w="0" w:type="dxa"/>
          <w:bottom w:w="28" w:type="dxa"/>
          <w:right w:w="0" w:type="dxa"/>
        </w:tblCellMar>
      </w:tblPr>
      <w:tblGrid>
        <w:gridCol w:w="6335"/>
      </w:tblGrid>
      <w:tr>
        <w:trPr/>
        <w:tc>
          <w:tcPr>
            <w:tcW w:w="6335" w:type="dxa"/>
            <w:tcBorders>
              <w:bottom w:val="single" w:sz="8" w:space="0" w:color="000000"/>
            </w:tcBorders>
            <w:vAlign w:val="center"/>
          </w:tcPr>
          <w:p>
            <w:pPr>
              <w:pStyle w:val="TableContents"/>
              <w:bidi w:val="0"/>
              <w:spacing w:before="0" w:after="0"/>
              <w:ind w:left="0" w:right="0" w:hanging="0"/>
              <w:jc w:val="center"/>
              <w:rPr>
                <w:sz w:val="20"/>
              </w:rPr>
            </w:pPr>
            <w:r>
              <w:rPr>
                <w:sz w:val="20"/>
              </w:rPr>
              <w:t>8/F. 29 Des Voeux Road Central, Central,</w:t>
            </w:r>
          </w:p>
          <w:p>
            <w:pPr>
              <w:pStyle w:val="TableContents"/>
              <w:bidi w:val="0"/>
              <w:spacing w:before="0" w:after="0"/>
              <w:ind w:left="0" w:right="0" w:hanging="0"/>
              <w:jc w:val="center"/>
              <w:rPr>
                <w:sz w:val="20"/>
              </w:rPr>
            </w:pPr>
            <w:r>
              <w:rPr>
                <w:sz w:val="20"/>
              </w:rPr>
              <w:t>Hong Kong Special Administrative Region of the People’s Republic of China</w:t>
            </w:r>
          </w:p>
        </w:tc>
      </w:tr>
      <w:tr>
        <w:trPr/>
        <w:tc>
          <w:tcPr>
            <w:tcW w:w="6335" w:type="dxa"/>
            <w:tcBorders/>
            <w:tcMar>
              <w:bottom w:w="0" w:type="dxa"/>
            </w:tcMar>
            <w:vAlign w:val="center"/>
          </w:tcPr>
          <w:p>
            <w:pPr>
              <w:pStyle w:val="TableContents"/>
              <w:bidi w:val="0"/>
              <w:spacing w:before="0" w:after="0"/>
              <w:ind w:left="480" w:right="372" w:hanging="0"/>
              <w:jc w:val="center"/>
              <w:rPr>
                <w:sz w:val="20"/>
              </w:rPr>
            </w:pPr>
            <w:r>
              <w:rPr>
                <w:sz w:val="20"/>
              </w:rPr>
              <w:t>(Address of Principal Executive Offices and Zip Code)</w:t>
            </w:r>
          </w:p>
          <w:p>
            <w:pPr>
              <w:pStyle w:val="TableContents"/>
              <w:bidi w:val="0"/>
              <w:spacing w:before="0" w:after="0"/>
              <w:ind w:left="480" w:right="372" w:hanging="0"/>
              <w:jc w:val="center"/>
              <w:rPr/>
            </w:pPr>
            <w:r>
              <w:rPr/>
              <w:t> </w:t>
            </w:r>
          </w:p>
        </w:tc>
      </w:tr>
    </w:tbl>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+852 2669-8078</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245"/>
        <w:gridCol w:w="60"/>
        <w:gridCol w:w="7295"/>
      </w:tblGrid>
      <w:tr>
        <w:trPr/>
        <w:tc>
          <w:tcPr>
            <w:tcW w:w="245" w:type="dxa"/>
            <w:tcBorders/>
            <w:vAlign w:val="center"/>
          </w:tcPr>
          <w:p>
            <w:pPr>
              <w:pStyle w:val="TableContents"/>
              <w:bidi w:val="0"/>
              <w:spacing w:before="0" w:after="283"/>
              <w:jc w:val="left"/>
              <w:rPr/>
            </w:pPr>
            <w:bookmarkStart w:id="8" w:name="xdx_90E_edei--WrittenCommunications_c202"/>
            <w:bookmarkEnd w:id="8"/>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630" w:type="dxa"/>
        <w:jc w:val="left"/>
        <w:tblInd w:w="0" w:type="dxa"/>
        <w:tblLayout w:type="fixed"/>
        <w:tblCellMar>
          <w:top w:w="0" w:type="dxa"/>
          <w:left w:w="0" w:type="dxa"/>
          <w:bottom w:w="0" w:type="dxa"/>
          <w:right w:w="0" w:type="dxa"/>
        </w:tblCellMar>
      </w:tblPr>
      <w:tblGrid>
        <w:gridCol w:w="245"/>
        <w:gridCol w:w="60"/>
        <w:gridCol w:w="7325"/>
      </w:tblGrid>
      <w:tr>
        <w:trPr/>
        <w:tc>
          <w:tcPr>
            <w:tcW w:w="245" w:type="dxa"/>
            <w:tcBorders/>
            <w:vAlign w:val="center"/>
          </w:tcPr>
          <w:p>
            <w:pPr>
              <w:pStyle w:val="TableContents"/>
              <w:bidi w:val="0"/>
              <w:spacing w:before="0" w:after="283"/>
              <w:jc w:val="left"/>
              <w:rPr/>
            </w:pPr>
            <w:bookmarkStart w:id="9" w:name="xdx_901_edei--SolicitingMaterial_c202607"/>
            <w:bookmarkEnd w:id="9"/>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283"/>
              <w:jc w:val="left"/>
              <w:rPr/>
            </w:pPr>
            <w:bookmarkStart w:id="10" w:name="xdx_90D_edei--PreCommencementTenderOffer"/>
            <w:bookmarkEnd w:id="10"/>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60"/>
        <w:gridCol w:w="9005"/>
      </w:tblGrid>
      <w:tr>
        <w:trPr/>
        <w:tc>
          <w:tcPr>
            <w:tcW w:w="245" w:type="dxa"/>
            <w:tcBorders/>
            <w:vAlign w:val="center"/>
          </w:tcPr>
          <w:p>
            <w:pPr>
              <w:pStyle w:val="TableContents"/>
              <w:bidi w:val="0"/>
              <w:spacing w:before="0" w:after="283"/>
              <w:jc w:val="left"/>
              <w:rPr/>
            </w:pPr>
            <w:bookmarkStart w:id="11" w:name="xdx_90E_edei--PreCommencementIssuerTende"/>
            <w:bookmarkEnd w:id="11"/>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2" w:name="xdx_90F_edei--EntityEmergingGrowthCompan"/>
      <w:bookmarkEnd w:id="12"/>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8190" w:type="dxa"/>
        <w:jc w:val="left"/>
        <w:tblInd w:w="0" w:type="dxa"/>
        <w:shd w:fill="FFFFFF" w:val="clear"/>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FFFFFF" w:val="clear"/>
            <w:tcMar>
              <w:bottom w:w="0" w:type="dxa"/>
            </w:tcMar>
            <w:vAlign w:val="center"/>
          </w:tcPr>
          <w:p>
            <w:pPr>
              <w:pStyle w:val="TableContents"/>
              <w:bidi w:val="0"/>
              <w:spacing w:before="0" w:after="283"/>
              <w:jc w:val="center"/>
              <w:rPr>
                <w:sz w:val="20"/>
              </w:rPr>
            </w:pPr>
            <w:bookmarkStart w:id="13" w:name="xdx_905_edei--Security12bTitle_c20260730"/>
            <w:bookmarkEnd w:id="13"/>
            <w:r>
              <w:rPr>
                <w:sz w:val="20"/>
              </w:rPr>
              <w:t>Common Stock, par value $0.001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14" w:name="xdx_903_edei--TradingSymbol_c20260730__2"/>
            <w:bookmarkEnd w:id="14"/>
            <w:r>
              <w:rPr>
                <w:sz w:val="20"/>
              </w:rPr>
              <w:t>CNET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bookmarkStart w:id="15" w:name="xdx_907_edei--SecurityExchangeName_c2026"/>
            <w:bookmarkEnd w:id="15"/>
            <w:r>
              <w:rPr>
                <w:sz w:val="20"/>
              </w:rPr>
              <w:t>NASDAQ Capital Market</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1.01 Entry into a Material Definitive Agreement.</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On July 30, 2026, ZW Data Action Technologies Inc. (the “Company”) entered into a Securities Purchase Agreement (the “</w:t>
      </w:r>
      <w:r>
        <w:rPr>
          <w:b/>
          <w:sz w:val="20"/>
        </w:rPr>
        <w:t>Agreement 1</w:t>
      </w:r>
      <w:r>
        <w:rPr>
          <w:sz w:val="20"/>
        </w:rPr>
        <w:t>”) with Amber Strong International Limited, a British Virgin Islands business company (the “</w:t>
      </w:r>
      <w:r>
        <w:rPr>
          <w:b/>
          <w:sz w:val="20"/>
        </w:rPr>
        <w:t>Purchaser 1</w:t>
      </w:r>
      <w:r>
        <w:rPr>
          <w:sz w:val="20"/>
        </w:rPr>
        <w:t>”), pursuant to which the Purchaser 1 agreed to purchase 150,000 shares of common stock of the Company, par value $0.001 per share for an aggregate purchase price of US$217,500, representing a purchase price of US$1.45 per share. The closing shall take place on the date mutually agreed by the parties, subject to the closing conditions contained in the Agreement. On the date that the Agreement 1 was signed, the Purchaser 1 also entered into a lock-up agreement with the Company, whereby the Purchaser 1 agreed not to transfer the shares until six-month anniversary of the date of the Agreement 1.</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On July 30, 2026, the Company entered into a Securities Purchase Agreement (the “</w:t>
      </w:r>
      <w:r>
        <w:rPr>
          <w:b/>
          <w:sz w:val="20"/>
        </w:rPr>
        <w:t>Agreement 2</w:t>
      </w:r>
      <w:r>
        <w:rPr>
          <w:sz w:val="20"/>
        </w:rPr>
        <w:t>”) with Marvel Investment Limited, a British Virgin Islands business company (the “</w:t>
      </w:r>
      <w:r>
        <w:rPr>
          <w:b/>
          <w:sz w:val="20"/>
        </w:rPr>
        <w:t>Purchaser 2</w:t>
      </w:r>
      <w:r>
        <w:rPr>
          <w:sz w:val="20"/>
        </w:rPr>
        <w:t>”), pursuant to which the Purchaser 2 agreed to purchase 300,000 shares of common stock of the Company, par value $0.001 per share for an aggregate purchase price of US$435,000, representing a purchase price of US$1.45 per share. Purchaser 2 is owned and controlled by Geroge Chu, the Company’s director. The closing shall take place on the date mutually agreed by the parties, subject to the closing conditions contained in the Agreement 2. On the date that the Agreement 2 was signed, the Purchaser 2 also entered into a lock-up agreement with the Company, whereby the Purchaser 2 agreed not to transfer the shares until six-month anniversary of the date of the Agreement 2.</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On July 30, 2026, the Company entered into a Securities Purchase Agreement (the “</w:t>
      </w:r>
      <w:r>
        <w:rPr>
          <w:b/>
          <w:sz w:val="20"/>
        </w:rPr>
        <w:t>Agreement 3</w:t>
      </w:r>
      <w:r>
        <w:rPr>
          <w:sz w:val="20"/>
        </w:rPr>
        <w:t>”) with Matrix International Limited, a British Virgin Islands business company (the “</w:t>
      </w:r>
      <w:r>
        <w:rPr>
          <w:b/>
          <w:sz w:val="20"/>
        </w:rPr>
        <w:t>Purchaser 3</w:t>
      </w:r>
      <w:r>
        <w:rPr>
          <w:sz w:val="20"/>
        </w:rPr>
        <w:t>”), pursuant to which the Purchaser 3 agreed to purchase 150,000 shares of common stock of the Company, par value $0.001 per share for an aggregate purchase price of US$217,500, representing a purchase price of US$1.45 per share. The closing shall take place on the date mutually agreed by the parties, subject to the closing conditions contained in the Agreement 3. On the date that the Agreement 3 was signed, the Purchaser 3 also entered into a lock-up agreement with the Company, the Purchaser 3 agreed not to transfer the shares until six-month anniversary of the date of the Agreement 3.</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On July 30, 2026, the Company entered into a Securities Purchase Agreement (the “</w:t>
      </w:r>
      <w:r>
        <w:rPr>
          <w:b/>
          <w:sz w:val="20"/>
        </w:rPr>
        <w:t>Agreement 4</w:t>
      </w:r>
      <w:r>
        <w:rPr>
          <w:sz w:val="20"/>
        </w:rPr>
        <w:t>”) with Optimal Success Investments Limited, a British Virgin Islands business company (the “</w:t>
      </w:r>
      <w:r>
        <w:rPr>
          <w:b/>
          <w:sz w:val="20"/>
        </w:rPr>
        <w:t>Purchaser 4</w:t>
      </w:r>
      <w:r>
        <w:rPr>
          <w:sz w:val="20"/>
        </w:rPr>
        <w:t>”), pursuant to which the Purchaser 4 agreed to purchase 150,000 shares of common stock of the Company, par value $0.001 per share for an aggregate purchase price of US$217,500, representing a purchase price of US$1.45 per share. The closing shall take place on the date mutually agreed by the parties, subject to the closing conditions contained in the Agreement 4. On the date that the Agreement 4 was signed, the Purchaser 4 also entered into a lock-up agreement with the Company, the Purchaser 4 agreed not to transfer the shares until six-month anniversary of the date of the Agreement 4.</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On July 30, 2026, the Company entered into a Securities Purchase Agreement (the “</w:t>
      </w:r>
      <w:r>
        <w:rPr>
          <w:b/>
          <w:sz w:val="20"/>
        </w:rPr>
        <w:t>Agreement 5</w:t>
      </w:r>
      <w:r>
        <w:rPr>
          <w:sz w:val="20"/>
        </w:rPr>
        <w:t>”) with Global Yeh Family Ltd, a Republic of China (ROC) business company (the “</w:t>
      </w:r>
      <w:r>
        <w:rPr>
          <w:b/>
          <w:sz w:val="20"/>
        </w:rPr>
        <w:t>Purchaser 5</w:t>
      </w:r>
      <w:r>
        <w:rPr>
          <w:sz w:val="20"/>
        </w:rPr>
        <w:t>”), pursuant to which the Purchaser 5 agreed to purchase 250,000 shares of common stock of the Company, par value $0.001 per share for an aggregate purchase price of US$362,500, representing a purchase price of US$1.45 per share. The closing shall take place on the date mutually agreed by the parties, subject to the closing conditions contained in the Agreement 5. On the date that the Agreement 5 was signed, the Purchaser 5 also entered into a lock-up agreement with the Company, the Purchaser 5 agreed not to transfer the shares until six-month anniversary of the date of the Agreement 5.</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Copies of the securities purchase agreements and the lock-op agreements are attached to this Current Report on Form 8-K as Exhibits 10.1, 10.2, 10.3, 10.4 and 10.5, and are incorporated herein by reference.</w:t>
      </w:r>
    </w:p>
    <w:p>
      <w:pPr>
        <w:pStyle w:val="TextBody"/>
        <w:bidi w:val="0"/>
        <w:spacing w:before="0" w:after="0"/>
        <w:ind w:left="0" w:right="0" w:firstLine="720"/>
        <w:jc w:val="left"/>
        <w:rPr/>
      </w:pPr>
      <w:r>
        <w:rPr/>
        <w:t> </w:t>
      </w:r>
    </w:p>
    <w:p>
      <w:pPr>
        <w:pStyle w:val="TextBody"/>
        <w:bidi w:val="0"/>
        <w:spacing w:before="0" w:after="0"/>
        <w:ind w:left="0" w:right="0" w:hanging="0"/>
        <w:jc w:val="both"/>
        <w:rPr>
          <w:b/>
          <w:sz w:val="20"/>
        </w:rPr>
      </w:pPr>
      <w:r>
        <w:rPr>
          <w:b/>
          <w:sz w:val="20"/>
        </w:rPr>
        <w:t>Item 3.02 Unregistered Sales of Equity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disclosure required by this Item and included in Item 1.01 of this Current Report is incorporated herein by reference. The shares were sold without registration under the Securities Act of 1933, as amended (the “</w:t>
      </w:r>
      <w:r>
        <w:rPr>
          <w:b/>
          <w:sz w:val="20"/>
        </w:rPr>
        <w:t>Securities Act</w:t>
      </w:r>
      <w:r>
        <w:rPr>
          <w:sz w:val="20"/>
        </w:rPr>
        <w:t>”), in reliance on the exemptions provided by Section 4(a)(2) of the Securities Act and Regulations D and S promulgated thereunder as sales to accredited investors and in reliance on similar exemptions under applicable state laws.</w:t>
      </w:r>
    </w:p>
    <w:p>
      <w:pPr>
        <w:pStyle w:val="TextBody"/>
        <w:bidi w:val="0"/>
        <w:spacing w:before="0" w:after="0"/>
        <w:ind w:left="0" w:right="0" w:firstLine="72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 Exhibits</w:t>
      </w:r>
    </w:p>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1340"/>
        <w:gridCol w:w="7685"/>
      </w:tblGrid>
      <w:tr>
        <w:trPr/>
        <w:tc>
          <w:tcPr>
            <w:tcW w:w="1340" w:type="dxa"/>
            <w:tcBorders/>
            <w:vAlign w:val="center"/>
          </w:tcPr>
          <w:p>
            <w:pPr>
              <w:pStyle w:val="TableContents"/>
              <w:bidi w:val="0"/>
              <w:spacing w:before="0" w:after="283"/>
              <w:jc w:val="left"/>
              <w:rPr>
                <w:sz w:val="20"/>
              </w:rPr>
            </w:pPr>
            <w:r>
              <w:rPr>
                <w:sz w:val="20"/>
              </w:rPr>
              <w:t>Exhibit Number</w:t>
            </w:r>
          </w:p>
        </w:tc>
        <w:tc>
          <w:tcPr>
            <w:tcW w:w="7685" w:type="dxa"/>
            <w:tcBorders/>
            <w:vAlign w:val="center"/>
          </w:tcPr>
          <w:p>
            <w:pPr>
              <w:pStyle w:val="TableContents"/>
              <w:bidi w:val="0"/>
              <w:spacing w:before="0" w:after="283"/>
              <w:jc w:val="left"/>
              <w:rPr>
                <w:sz w:val="20"/>
              </w:rPr>
            </w:pPr>
            <w:r>
              <w:rPr>
                <w:sz w:val="20"/>
              </w:rPr>
              <w:t>Description</w:t>
            </w:r>
          </w:p>
        </w:tc>
      </w:tr>
      <w:tr>
        <w:trPr/>
        <w:tc>
          <w:tcPr>
            <w:tcW w:w="1340" w:type="dxa"/>
            <w:tcBorders/>
            <w:vAlign w:val="center"/>
          </w:tcPr>
          <w:p>
            <w:pPr>
              <w:pStyle w:val="TableContents"/>
              <w:bidi w:val="0"/>
              <w:spacing w:before="0" w:after="283"/>
              <w:jc w:val="left"/>
              <w:rPr/>
            </w:pPr>
            <w:hyperlink w:anchor="exh_101.htm">
              <w:r>
                <w:rPr>
                  <w:rStyle w:val="InternetLink"/>
                  <w:sz w:val="20"/>
                </w:rPr>
                <w:t>10.1</w:t>
              </w:r>
            </w:hyperlink>
          </w:p>
        </w:tc>
        <w:tc>
          <w:tcPr>
            <w:tcW w:w="7685" w:type="dxa"/>
            <w:tcBorders/>
            <w:vAlign w:val="center"/>
          </w:tcPr>
          <w:p>
            <w:pPr>
              <w:pStyle w:val="TableContents"/>
              <w:bidi w:val="0"/>
              <w:spacing w:before="0" w:after="283"/>
              <w:jc w:val="left"/>
              <w:rPr/>
            </w:pPr>
            <w:hyperlink w:anchor="exh_101.htm">
              <w:r>
                <w:rPr>
                  <w:rStyle w:val="InternetLink"/>
                  <w:sz w:val="20"/>
                </w:rPr>
                <w:t>Securities Purchase Agreement, dated July 30, 2026</w:t>
              </w:r>
            </w:hyperlink>
          </w:p>
        </w:tc>
      </w:tr>
      <w:tr>
        <w:trPr/>
        <w:tc>
          <w:tcPr>
            <w:tcW w:w="1340" w:type="dxa"/>
            <w:tcBorders/>
            <w:vAlign w:val="center"/>
          </w:tcPr>
          <w:p>
            <w:pPr>
              <w:pStyle w:val="TableContents"/>
              <w:bidi w:val="0"/>
              <w:spacing w:before="0" w:after="283"/>
              <w:jc w:val="left"/>
              <w:rPr/>
            </w:pPr>
            <w:hyperlink w:anchor="exh_102.htm">
              <w:r>
                <w:rPr>
                  <w:rStyle w:val="InternetLink"/>
                  <w:sz w:val="20"/>
                </w:rPr>
                <w:t>10.2</w:t>
              </w:r>
            </w:hyperlink>
          </w:p>
        </w:tc>
        <w:tc>
          <w:tcPr>
            <w:tcW w:w="7685" w:type="dxa"/>
            <w:tcBorders/>
            <w:vAlign w:val="center"/>
          </w:tcPr>
          <w:p>
            <w:pPr>
              <w:pStyle w:val="TableContents"/>
              <w:bidi w:val="0"/>
              <w:spacing w:before="0" w:after="283"/>
              <w:jc w:val="left"/>
              <w:rPr/>
            </w:pPr>
            <w:hyperlink w:anchor="exh_102.htm">
              <w:r>
                <w:rPr>
                  <w:rStyle w:val="InternetLink"/>
                  <w:sz w:val="20"/>
                </w:rPr>
                <w:t>Securities Purchase Agreement, dated July 30, 2026</w:t>
              </w:r>
            </w:hyperlink>
          </w:p>
        </w:tc>
      </w:tr>
      <w:tr>
        <w:trPr/>
        <w:tc>
          <w:tcPr>
            <w:tcW w:w="1340" w:type="dxa"/>
            <w:tcBorders/>
            <w:vAlign w:val="center"/>
          </w:tcPr>
          <w:p>
            <w:pPr>
              <w:pStyle w:val="TableContents"/>
              <w:bidi w:val="0"/>
              <w:spacing w:before="0" w:after="283"/>
              <w:jc w:val="left"/>
              <w:rPr/>
            </w:pPr>
            <w:hyperlink w:anchor="exh_103.htm">
              <w:r>
                <w:rPr>
                  <w:rStyle w:val="InternetLink"/>
                  <w:sz w:val="20"/>
                </w:rPr>
                <w:t>10.3</w:t>
              </w:r>
            </w:hyperlink>
          </w:p>
        </w:tc>
        <w:tc>
          <w:tcPr>
            <w:tcW w:w="7685" w:type="dxa"/>
            <w:tcBorders/>
            <w:vAlign w:val="center"/>
          </w:tcPr>
          <w:p>
            <w:pPr>
              <w:pStyle w:val="TableContents"/>
              <w:bidi w:val="0"/>
              <w:spacing w:before="0" w:after="283"/>
              <w:jc w:val="left"/>
              <w:rPr/>
            </w:pPr>
            <w:hyperlink w:anchor="exh_103.htm">
              <w:r>
                <w:rPr>
                  <w:rStyle w:val="InternetLink"/>
                  <w:sz w:val="20"/>
                </w:rPr>
                <w:t>Securities Purchase Agreement, dated July 30, 2026</w:t>
              </w:r>
            </w:hyperlink>
          </w:p>
        </w:tc>
      </w:tr>
      <w:tr>
        <w:trPr/>
        <w:tc>
          <w:tcPr>
            <w:tcW w:w="1340" w:type="dxa"/>
            <w:tcBorders/>
            <w:vAlign w:val="center"/>
          </w:tcPr>
          <w:p>
            <w:pPr>
              <w:pStyle w:val="TableContents"/>
              <w:bidi w:val="0"/>
              <w:spacing w:before="0" w:after="283"/>
              <w:jc w:val="left"/>
              <w:rPr/>
            </w:pPr>
            <w:hyperlink w:anchor="exh_104.htm">
              <w:r>
                <w:rPr>
                  <w:rStyle w:val="InternetLink"/>
                  <w:sz w:val="20"/>
                </w:rPr>
                <w:t>10.4</w:t>
              </w:r>
            </w:hyperlink>
          </w:p>
        </w:tc>
        <w:tc>
          <w:tcPr>
            <w:tcW w:w="7685" w:type="dxa"/>
            <w:tcBorders/>
            <w:vAlign w:val="center"/>
          </w:tcPr>
          <w:p>
            <w:pPr>
              <w:pStyle w:val="TableContents"/>
              <w:bidi w:val="0"/>
              <w:spacing w:before="0" w:after="283"/>
              <w:jc w:val="left"/>
              <w:rPr/>
            </w:pPr>
            <w:hyperlink w:anchor="exh_104.htm">
              <w:r>
                <w:rPr>
                  <w:rStyle w:val="InternetLink"/>
                  <w:sz w:val="20"/>
                </w:rPr>
                <w:t>Securities Purchase Agreement, dated July 30, 2026</w:t>
              </w:r>
            </w:hyperlink>
          </w:p>
        </w:tc>
      </w:tr>
      <w:tr>
        <w:trPr/>
        <w:tc>
          <w:tcPr>
            <w:tcW w:w="1340" w:type="dxa"/>
            <w:tcBorders/>
            <w:vAlign w:val="center"/>
          </w:tcPr>
          <w:p>
            <w:pPr>
              <w:pStyle w:val="TableContents"/>
              <w:bidi w:val="0"/>
              <w:spacing w:before="0" w:after="283"/>
              <w:jc w:val="left"/>
              <w:rPr/>
            </w:pPr>
            <w:hyperlink w:anchor="exh_105.htm">
              <w:r>
                <w:rPr>
                  <w:rStyle w:val="InternetLink"/>
                </w:rPr>
                <w:t>10.5</w:t>
              </w:r>
            </w:hyperlink>
          </w:p>
        </w:tc>
        <w:tc>
          <w:tcPr>
            <w:tcW w:w="7685" w:type="dxa"/>
            <w:tcBorders/>
            <w:vAlign w:val="center"/>
          </w:tcPr>
          <w:p>
            <w:pPr>
              <w:pStyle w:val="TableContents"/>
              <w:bidi w:val="0"/>
              <w:spacing w:before="0" w:after="283"/>
              <w:jc w:val="left"/>
              <w:rPr/>
            </w:pPr>
            <w:hyperlink w:anchor="exh_105.htm">
              <w:r>
                <w:rPr>
                  <w:rStyle w:val="InternetLink"/>
                  <w:sz w:val="20"/>
                </w:rPr>
                <w:t>Securities Purchase Agreement, dated July 30, 2026</w:t>
              </w:r>
            </w:hyperlink>
          </w:p>
        </w:tc>
      </w:tr>
      <w:tr>
        <w:trPr/>
        <w:tc>
          <w:tcPr>
            <w:tcW w:w="134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7485" w:type="dxa"/>
        <w:jc w:val="left"/>
        <w:tblInd w:w="0" w:type="dxa"/>
        <w:tblLayout w:type="fixed"/>
        <w:tblCellMar>
          <w:top w:w="0" w:type="dxa"/>
          <w:left w:w="0" w:type="dxa"/>
          <w:bottom w:w="0" w:type="dxa"/>
          <w:right w:w="0" w:type="dxa"/>
        </w:tblCellMar>
      </w:tblPr>
      <w:tblGrid>
        <w:gridCol w:w="1865"/>
        <w:gridCol w:w="320"/>
        <w:gridCol w:w="5300"/>
      </w:tblGrid>
      <w:tr>
        <w:trPr/>
        <w:tc>
          <w:tcPr>
            <w:tcW w:w="1865" w:type="dxa"/>
            <w:tcBorders/>
            <w:vAlign w:val="center"/>
          </w:tcPr>
          <w:p>
            <w:pPr>
              <w:pStyle w:val="TableContents"/>
              <w:bidi w:val="0"/>
              <w:spacing w:before="0" w:after="283"/>
              <w:jc w:val="left"/>
              <w:rPr/>
            </w:pPr>
            <w:r>
              <w:rPr/>
              <w:t> </w:t>
            </w:r>
          </w:p>
        </w:tc>
        <w:tc>
          <w:tcPr>
            <w:tcW w:w="5620" w:type="dxa"/>
            <w:gridSpan w:val="2"/>
            <w:tcBorders/>
            <w:vAlign w:val="center"/>
          </w:tcPr>
          <w:p>
            <w:pPr>
              <w:pStyle w:val="TableContents"/>
              <w:bidi w:val="0"/>
              <w:spacing w:before="0" w:after="283"/>
              <w:jc w:val="left"/>
              <w:rPr>
                <w:b/>
                <w:sz w:val="20"/>
              </w:rPr>
            </w:pPr>
            <w:r>
              <w:rPr>
                <w:b/>
                <w:sz w:val="20"/>
              </w:rPr>
              <w:t>ZW DATA ACTION TECHNOLOGIES INC.</w:t>
            </w:r>
          </w:p>
        </w:tc>
      </w:tr>
      <w:tr>
        <w:trPr/>
        <w:tc>
          <w:tcPr>
            <w:tcW w:w="1865" w:type="dxa"/>
            <w:tcBorders/>
            <w:vAlign w:val="center"/>
          </w:tcPr>
          <w:p>
            <w:pPr>
              <w:pStyle w:val="TableContents"/>
              <w:bidi w:val="0"/>
              <w:spacing w:before="0" w:after="283"/>
              <w:jc w:val="left"/>
              <w:rPr/>
            </w:pPr>
            <w:r>
              <w:rPr/>
              <w:t> </w:t>
            </w:r>
          </w:p>
        </w:tc>
        <w:tc>
          <w:tcPr>
            <w:tcW w:w="562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Dated: August 5, 2026</w:t>
            </w:r>
          </w:p>
        </w:tc>
        <w:tc>
          <w:tcPr>
            <w:tcW w:w="562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Handong Cheng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Name: Handong Cheng</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Title: Chief Executive Officer and Acting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b/>
        </w:rPr>
      </w:pPr>
      <w:bookmarkStart w:id="16" w:name="exh_101.htm"/>
      <w:bookmarkStart w:id="17" w:name="ksexh_101"/>
      <w:bookmarkEnd w:id="16"/>
      <w:bookmarkEnd w:id="17"/>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July 30, 2026 by and among ZW Data Action Technologies Inc., a Nevada corporation (NASDAQ: CNET) (the “</w:t>
      </w:r>
      <w:r>
        <w:rPr>
          <w:sz w:val="20"/>
          <w:u w:val="single"/>
        </w:rPr>
        <w:t>Company</w:t>
      </w:r>
      <w:r>
        <w:rPr>
          <w:sz w:val="20"/>
        </w:rPr>
        <w:t>”), and Amber Strong International Limited, a British Virgin Islands business company (BVI Company number: 2069837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Purchase and Sale of Common Stock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150,000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$1.45 per Share (the “</w:t>
      </w:r>
      <w:r>
        <w:rPr>
          <w:sz w:val="20"/>
          <w:u w:val="single"/>
        </w:rPr>
        <w:t>Purchase Price</w:t>
      </w:r>
      <w:r>
        <w:rPr>
          <w:sz w:val="20"/>
        </w:rPr>
        <w:t>”) for an aggregate purchase price of $217,500.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July 30, 2026,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July 30, 2026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July 30, 2026,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3.2 </w:t>
      </w:r>
      <w:r>
        <w:rPr>
          <w:sz w:val="20"/>
          <w:u w:val="single"/>
        </w:rPr>
        <w:t>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3.3</w:t>
      </w:r>
      <w:r>
        <w:rPr>
          <w:sz w:val="20"/>
          <w:u w:val="single"/>
        </w:rPr>
        <w:t xml:space="preserve"> 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3.4</w:t>
      </w:r>
      <w:r>
        <w:rPr>
          <w:sz w:val="20"/>
          <w:u w:val="single"/>
        </w:rPr>
        <w:t xml:space="preserve"> 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3.5 </w:t>
      </w:r>
      <w:r>
        <w:rPr>
          <w:sz w:val="20"/>
          <w:u w:val="single"/>
        </w:rPr>
        <w:t>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ZW Data Action Technologies Inc. </w:t>
      </w:r>
    </w:p>
    <w:p>
      <w:pPr>
        <w:pStyle w:val="TextBody"/>
        <w:bidi w:val="0"/>
        <w:spacing w:before="0" w:after="0"/>
        <w:ind w:left="0" w:right="0" w:firstLine="720"/>
        <w:jc w:val="left"/>
        <w:rPr>
          <w:sz w:val="20"/>
        </w:rPr>
      </w:pPr>
      <w:r>
        <w:rPr>
          <w:sz w:val="20"/>
        </w:rPr>
        <w:t>Room 1811, Xinghuo Keji Plaza, No. 2 Fufeng Road, </w:t>
      </w:r>
    </w:p>
    <w:p>
      <w:pPr>
        <w:pStyle w:val="TextBody"/>
        <w:bidi w:val="0"/>
        <w:spacing w:before="0" w:after="0"/>
        <w:ind w:left="0" w:right="0" w:firstLine="720"/>
        <w:jc w:val="left"/>
        <w:rPr>
          <w:sz w:val="20"/>
        </w:rPr>
      </w:pPr>
      <w:r>
        <w:rPr>
          <w:sz w:val="20"/>
        </w:rPr>
        <w:t>Fengtai District, Beijing, PRC 100070 </w:t>
      </w:r>
    </w:p>
    <w:p>
      <w:pPr>
        <w:pStyle w:val="TextBody"/>
        <w:bidi w:val="0"/>
        <w:spacing w:before="0" w:after="0"/>
        <w:ind w:left="0" w:right="0" w:firstLine="720"/>
        <w:jc w:val="left"/>
        <w:rPr>
          <w:sz w:val="20"/>
        </w:rPr>
      </w:pPr>
      <w:r>
        <w:rPr>
          <w:sz w:val="20"/>
        </w:rPr>
        <w:t>Attention: Mr. Handong Cheng </w:t>
      </w:r>
    </w:p>
    <w:p>
      <w:pPr>
        <w:pStyle w:val="TextBody"/>
        <w:bidi w:val="0"/>
        <w:spacing w:before="0" w:after="0"/>
        <w:ind w:left="0" w:right="0" w:firstLine="720"/>
        <w:jc w:val="left"/>
        <w:rPr>
          <w:sz w:val="20"/>
        </w:rPr>
      </w:pPr>
      <w:r>
        <w:rPr>
          <w:sz w:val="20"/>
        </w:rPr>
        <w:t>Tel. No.: +86-10-51600828 </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 </w:t>
      </w:r>
    </w:p>
    <w:p>
      <w:pPr>
        <w:pStyle w:val="TextBody"/>
        <w:bidi w:val="0"/>
        <w:spacing w:before="0" w:after="0"/>
        <w:ind w:left="0" w:right="0" w:firstLine="720"/>
        <w:jc w:val="left"/>
        <w:rPr>
          <w:sz w:val="20"/>
        </w:rPr>
      </w:pPr>
      <w:r>
        <w:rPr>
          <w:sz w:val="20"/>
        </w:rPr>
        <w:t>345 Park Avenue </w:t>
      </w:r>
    </w:p>
    <w:p>
      <w:pPr>
        <w:pStyle w:val="TextBody"/>
        <w:bidi w:val="0"/>
        <w:spacing w:before="0" w:after="0"/>
        <w:ind w:left="0" w:right="0" w:firstLine="720"/>
        <w:jc w:val="left"/>
        <w:rPr>
          <w:sz w:val="20"/>
        </w:rPr>
      </w:pPr>
      <w:r>
        <w:rPr>
          <w:sz w:val="20"/>
        </w:rPr>
        <w:t>New York, NY 10154 </w:t>
      </w:r>
    </w:p>
    <w:p>
      <w:pPr>
        <w:pStyle w:val="TextBody"/>
        <w:bidi w:val="0"/>
        <w:spacing w:before="0" w:after="0"/>
        <w:ind w:left="0" w:right="0" w:firstLine="720"/>
        <w:jc w:val="left"/>
        <w:rPr>
          <w:sz w:val="20"/>
        </w:rPr>
      </w:pPr>
      <w:r>
        <w:rPr>
          <w:sz w:val="20"/>
        </w:rPr>
        <w:t>Attention: Mitchell S. Nussbaum, Esq. </w:t>
      </w:r>
    </w:p>
    <w:p>
      <w:pPr>
        <w:pStyle w:val="TextBody"/>
        <w:bidi w:val="0"/>
        <w:spacing w:before="0" w:after="0"/>
        <w:ind w:left="0" w:right="0" w:firstLine="720"/>
        <w:jc w:val="left"/>
        <w:rPr>
          <w:sz w:val="20"/>
        </w:rPr>
      </w:pPr>
      <w:r>
        <w:rPr>
          <w:sz w:val="20"/>
        </w:rPr>
        <w:t>Tel. No.: (212) 407-4000 </w:t>
      </w:r>
    </w:p>
    <w:p>
      <w:pPr>
        <w:pStyle w:val="TextBody"/>
        <w:bidi w:val="0"/>
        <w:spacing w:before="0" w:after="0"/>
        <w:ind w:left="0" w:right="0" w:firstLine="720"/>
        <w:jc w:val="left"/>
        <w:rPr>
          <w:sz w:val="20"/>
        </w:rPr>
      </w:pPr>
      <w:r>
        <w:rPr>
          <w:sz w:val="20"/>
        </w:rPr>
        <w:t>Fax No.: (212) 407-4990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 </w:t>
      </w:r>
    </w:p>
    <w:p>
      <w:pPr>
        <w:pStyle w:val="TextBody"/>
        <w:bidi w:val="0"/>
        <w:spacing w:before="0" w:after="0"/>
        <w:ind w:left="727" w:right="0" w:hanging="0"/>
        <w:jc w:val="both"/>
        <w:rPr>
          <w:sz w:val="20"/>
        </w:rPr>
      </w:pPr>
      <w:r>
        <w:rPr>
          <w:sz w:val="20"/>
        </w:rPr>
        <w:t>Amber Strong International Limited </w:t>
      </w:r>
    </w:p>
    <w:p>
      <w:pPr>
        <w:pStyle w:val="TextBody"/>
        <w:bidi w:val="0"/>
        <w:spacing w:before="0" w:after="0"/>
        <w:ind w:left="727" w:right="0" w:hanging="0"/>
        <w:jc w:val="both"/>
        <w:rPr>
          <w:sz w:val="20"/>
        </w:rPr>
      </w:pPr>
      <w:r>
        <w:rPr>
          <w:sz w:val="20"/>
        </w:rPr>
        <w:t>Unit 502, 5/F, Beverley Commercial Centre, 87-105 Chatham Road South, Tsim Sha Tsui, Kowloon, Hong Kong </w:t>
      </w:r>
    </w:p>
    <w:p>
      <w:pPr>
        <w:pStyle w:val="TextBody"/>
        <w:bidi w:val="0"/>
        <w:spacing w:before="0" w:after="0"/>
        <w:ind w:left="727" w:right="0" w:hanging="0"/>
        <w:jc w:val="both"/>
        <w:rPr>
          <w:sz w:val="20"/>
        </w:rPr>
      </w:pPr>
      <w:r>
        <w:rPr>
          <w:sz w:val="20"/>
        </w:rPr>
        <w:t>Attention: Mandy Ip </w:t>
      </w:r>
    </w:p>
    <w:p>
      <w:pPr>
        <w:pStyle w:val="TextBody"/>
        <w:bidi w:val="0"/>
        <w:spacing w:before="0" w:after="0"/>
        <w:ind w:left="727" w:right="0" w:hanging="0"/>
        <w:jc w:val="both"/>
        <w:rPr>
          <w:sz w:val="20"/>
        </w:rPr>
      </w:pPr>
      <w:r>
        <w:rPr>
          <w:sz w:val="20"/>
        </w:rPr>
        <w:t>Tel. No.: +85223753733</w:t>
      </w:r>
    </w:p>
    <w:p>
      <w:pPr>
        <w:pStyle w:val="TextBody"/>
        <w:bidi w:val="0"/>
        <w:spacing w:before="0" w:after="0"/>
        <w:ind w:left="727" w:right="0" w:hanging="0"/>
        <w:jc w:val="both"/>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7.12 </w:t>
      </w:r>
      <w:r>
        <w:rPr>
          <w:sz w:val="20"/>
          <w:u w:val="single"/>
        </w:rPr>
        <w:t>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7.13 </w:t>
      </w:r>
      <w:r>
        <w:rPr>
          <w:sz w:val="20"/>
          <w:u w:val="single"/>
        </w:rPr>
        <w:t>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590" w:type="dxa"/>
            <w:tcBorders/>
            <w:vAlign w:val="center"/>
          </w:tcPr>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p>
            <w:pPr>
              <w:pStyle w:val="TableContents"/>
              <w:bidi w:val="0"/>
              <w:spacing w:before="0" w:after="0"/>
              <w:ind w:left="600" w:right="0" w:hanging="60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July 30, 2026.</w:t>
      </w:r>
    </w:p>
    <w:p>
      <w:pPr>
        <w:pStyle w:val="TextBody"/>
        <w:bidi w:val="0"/>
        <w:spacing w:before="0" w:after="0"/>
        <w:ind w:left="0" w:right="0" w:firstLine="720"/>
        <w:jc w:val="both"/>
        <w:rPr/>
      </w:pPr>
      <w:r>
        <w:rPr/>
        <w:t> </w:t>
      </w:r>
    </w:p>
    <w:tbl>
      <w:tblPr>
        <w:tblW w:w="4054" w:type="dxa"/>
        <w:jc w:val="left"/>
        <w:tblInd w:w="0" w:type="dxa"/>
        <w:tblLayout w:type="fixed"/>
        <w:tblCellMar>
          <w:top w:w="0" w:type="dxa"/>
          <w:left w:w="0" w:type="dxa"/>
          <w:bottom w:w="0" w:type="dxa"/>
          <w:right w:w="0" w:type="dxa"/>
        </w:tblCellMar>
      </w:tblPr>
      <w:tblGrid>
        <w:gridCol w:w="75"/>
        <w:gridCol w:w="625"/>
        <w:gridCol w:w="3354"/>
      </w:tblGrid>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sz w:val="20"/>
              </w:rPr>
            </w:pPr>
            <w:r>
              <w:rPr>
                <w:sz w:val="20"/>
              </w:rPr>
              <w:t>AMBER STRONG INTERNATIONAL LIMITED</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354"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Yao Yucheng</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3354" w:type="dxa"/>
            <w:tcBorders/>
            <w:vAlign w:val="center"/>
          </w:tcPr>
          <w:p>
            <w:pPr>
              <w:pStyle w:val="TableContents"/>
              <w:bidi w:val="0"/>
              <w:spacing w:before="0" w:after="283"/>
              <w:jc w:val="left"/>
              <w:rPr>
                <w:sz w:val="20"/>
              </w:rPr>
            </w:pPr>
            <w:r>
              <w:rPr>
                <w:sz w:val="20"/>
              </w:rPr>
              <w:t>Name: Yao Yucheng</w:t>
            </w:r>
          </w:p>
        </w:tc>
      </w:tr>
      <w:tr>
        <w:trPr/>
        <w:tc>
          <w:tcPr>
            <w:tcW w:w="7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left"/>
              <w:rPr/>
            </w:pPr>
            <w:r>
              <w:rPr/>
              <w:t> </w:t>
            </w:r>
          </w:p>
        </w:tc>
        <w:tc>
          <w:tcPr>
            <w:tcW w:w="3354"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___________________________________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July 30, 2026 by and among ZW Data Action Technologies Inc., a Nevada corporation (NASDAQ: CNET) (the “Company”), and Amber Strong International Limited, a British Virgin Island business company (BVI Company Number: 2069837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150,000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hanging="0"/>
        <w:jc w:val="both"/>
        <w:rPr/>
      </w:pPr>
      <w:r>
        <w:rPr/>
        <w:t> </w:t>
      </w:r>
    </w:p>
    <w:p>
      <w:pPr>
        <w:pStyle w:val="TextBody"/>
        <w:bidi w:val="0"/>
        <w:spacing w:before="0" w:after="0"/>
        <w:ind w:left="719" w:right="0" w:hanging="0"/>
        <w:jc w:val="both"/>
        <w:rPr>
          <w:sz w:val="20"/>
        </w:rPr>
      </w:pPr>
      <w:r>
        <w:rPr>
          <w:sz w:val="20"/>
        </w:rPr>
        <w:t>Amber Strong International Limited</w:t>
      </w:r>
    </w:p>
    <w:p>
      <w:pPr>
        <w:pStyle w:val="TextBody"/>
        <w:bidi w:val="0"/>
        <w:spacing w:before="0" w:after="0"/>
        <w:ind w:left="719" w:right="0" w:hanging="0"/>
        <w:jc w:val="both"/>
        <w:rPr>
          <w:sz w:val="20"/>
        </w:rPr>
      </w:pPr>
      <w:r>
        <w:rPr>
          <w:sz w:val="20"/>
        </w:rPr>
        <w:t>Unit 502, 5/F, Beverley Commercial Centre, 87-105 Chatham Road South, Tsim Sha Tsui, Kowloon, Hong Kong</w:t>
      </w:r>
    </w:p>
    <w:p>
      <w:pPr>
        <w:pStyle w:val="TextBody"/>
        <w:bidi w:val="0"/>
        <w:spacing w:before="0" w:after="0"/>
        <w:ind w:left="719" w:right="0" w:hanging="0"/>
        <w:jc w:val="both"/>
        <w:rPr>
          <w:sz w:val="20"/>
        </w:rPr>
      </w:pPr>
      <w:r>
        <w:rPr>
          <w:sz w:val="20"/>
        </w:rPr>
        <w:t>Attention: Mandy Ip</w:t>
      </w:r>
    </w:p>
    <w:p>
      <w:pPr>
        <w:pStyle w:val="TextBody"/>
        <w:bidi w:val="0"/>
        <w:spacing w:before="0" w:after="0"/>
        <w:ind w:left="719" w:right="0" w:hanging="0"/>
        <w:jc w:val="both"/>
        <w:rPr>
          <w:sz w:val="20"/>
        </w:rPr>
      </w:pPr>
      <w:r>
        <w:rPr>
          <w:sz w:val="20"/>
        </w:rPr>
        <w:t>Tel. No.: +85223753733</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4294" w:type="dxa"/>
        <w:jc w:val="left"/>
        <w:tblInd w:w="0" w:type="dxa"/>
        <w:tblLayout w:type="fixed"/>
        <w:tblCellMar>
          <w:top w:w="0" w:type="dxa"/>
          <w:left w:w="0" w:type="dxa"/>
          <w:bottom w:w="0" w:type="dxa"/>
          <w:right w:w="0" w:type="dxa"/>
        </w:tblCellMar>
      </w:tblPr>
      <w:tblGrid>
        <w:gridCol w:w="75"/>
        <w:gridCol w:w="513"/>
        <w:gridCol w:w="3706"/>
      </w:tblGrid>
      <w:tr>
        <w:trPr/>
        <w:tc>
          <w:tcPr>
            <w:tcW w:w="75" w:type="dxa"/>
            <w:tcBorders/>
            <w:vAlign w:val="center"/>
          </w:tcPr>
          <w:p>
            <w:pPr>
              <w:pStyle w:val="TableContents"/>
              <w:bidi w:val="0"/>
              <w:spacing w:before="0" w:after="283"/>
              <w:jc w:val="both"/>
              <w:rPr/>
            </w:pPr>
            <w:r>
              <w:rPr/>
              <w:t> </w:t>
            </w:r>
          </w:p>
        </w:tc>
        <w:tc>
          <w:tcPr>
            <w:tcW w:w="4219"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sz w:val="20"/>
              </w:rPr>
            </w:pPr>
            <w:r>
              <w:rPr>
                <w:sz w:val="20"/>
              </w:rPr>
              <w:t>By:</w:t>
            </w:r>
          </w:p>
        </w:tc>
        <w:tc>
          <w:tcPr>
            <w:tcW w:w="3706"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21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421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left"/>
              <w:rPr>
                <w:b/>
                <w:sz w:val="20"/>
              </w:rPr>
            </w:pPr>
            <w:r>
              <w:rPr>
                <w:b/>
                <w:sz w:val="20"/>
              </w:rPr>
              <w:t>AMBER STRONG INTERNATIONAL LIMITED</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By:</w:t>
            </w:r>
          </w:p>
        </w:tc>
        <w:tc>
          <w:tcPr>
            <w:tcW w:w="3706" w:type="dxa"/>
            <w:tcBorders>
              <w:bottom w:val="single" w:sz="8" w:space="0" w:color="000000"/>
            </w:tcBorders>
            <w:tcMar>
              <w:bottom w:w="28" w:type="dxa"/>
            </w:tcMar>
            <w:vAlign w:val="center"/>
          </w:tcPr>
          <w:p>
            <w:pPr>
              <w:pStyle w:val="TableContents"/>
              <w:bidi w:val="0"/>
              <w:spacing w:before="0" w:after="283"/>
              <w:jc w:val="both"/>
              <w:rPr/>
            </w:pPr>
            <w:r>
              <w:rPr/>
              <w:t>/s/ Yao Yucheng</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283"/>
              <w:jc w:val="both"/>
              <w:rPr>
                <w:sz w:val="20"/>
              </w:rPr>
            </w:pPr>
            <w:r>
              <w:rPr>
                <w:sz w:val="20"/>
              </w:rPr>
              <w:t>Name: Yao Yucheng</w:t>
            </w:r>
          </w:p>
        </w:tc>
      </w:tr>
      <w:tr>
        <w:trPr/>
        <w:tc>
          <w:tcPr>
            <w:tcW w:w="75" w:type="dxa"/>
            <w:tcBorders/>
            <w:vAlign w:val="center"/>
          </w:tcPr>
          <w:p>
            <w:pPr>
              <w:pStyle w:val="TableContents"/>
              <w:bidi w:val="0"/>
              <w:spacing w:before="0" w:after="283"/>
              <w:jc w:val="both"/>
              <w:rPr/>
            </w:pPr>
            <w:r>
              <w:rPr/>
              <w:t> </w:t>
            </w:r>
          </w:p>
        </w:tc>
        <w:tc>
          <w:tcPr>
            <w:tcW w:w="513" w:type="dxa"/>
            <w:tcBorders/>
            <w:vAlign w:val="center"/>
          </w:tcPr>
          <w:p>
            <w:pPr>
              <w:pStyle w:val="TableContents"/>
              <w:bidi w:val="0"/>
              <w:spacing w:before="0" w:after="283"/>
              <w:jc w:val="both"/>
              <w:rPr/>
            </w:pPr>
            <w:r>
              <w:rPr/>
              <w:t> </w:t>
            </w:r>
          </w:p>
        </w:tc>
        <w:tc>
          <w:tcPr>
            <w:tcW w:w="3706"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sz w:val="20"/>
        </w:rPr>
      </w:pPr>
      <w:r>
        <w:rPr>
          <w:sz w:val="20"/>
        </w:rPr>
        <w:t>4</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18" w:name="exh_102.htm"/>
      <w:bookmarkStart w:id="19" w:name="ksexh_102"/>
      <w:bookmarkEnd w:id="18"/>
      <w:bookmarkEnd w:id="19"/>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July 30, 2026 by and among ZW Data Action Technologies Inc., a Nevada corporation (NASDAQ: CNET) (the “</w:t>
      </w:r>
      <w:r>
        <w:rPr>
          <w:sz w:val="20"/>
          <w:u w:val="single"/>
        </w:rPr>
        <w:t>Company</w:t>
      </w:r>
      <w:r>
        <w:rPr>
          <w:sz w:val="20"/>
        </w:rPr>
        <w:t>”), and Marvel Investment Limited, a British Virgin Islands business company (BVI Company number: 1999041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Purchase and Sale of Common Stock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300,000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$1.45 per Share (the “</w:t>
      </w:r>
      <w:r>
        <w:rPr>
          <w:sz w:val="20"/>
          <w:u w:val="single"/>
        </w:rPr>
        <w:t>Purchase Price</w:t>
      </w:r>
      <w:r>
        <w:rPr>
          <w:sz w:val="20"/>
        </w:rPr>
        <w:t>”) for an aggregate purchase price of $435,000.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July 30, 2026,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July 30, 2026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July 30, 2026,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3.2 </w:t>
      </w:r>
      <w:r>
        <w:rPr>
          <w:sz w:val="20"/>
          <w:u w:val="single"/>
        </w:rPr>
        <w:t>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3.3 </w:t>
      </w:r>
      <w:r>
        <w:rPr>
          <w:sz w:val="20"/>
          <w:u w:val="single"/>
        </w:rPr>
        <w:t>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3.4 </w:t>
      </w:r>
      <w:r>
        <w:rPr>
          <w:sz w:val="20"/>
          <w:u w:val="single"/>
        </w:rPr>
        <w:t>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3.5</w:t>
      </w:r>
      <w:r>
        <w:rPr>
          <w:sz w:val="20"/>
          <w:u w:val="single"/>
        </w:rPr>
        <w:t xml:space="preserve"> 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ZW Data Action Technologies Inc. </w:t>
      </w:r>
    </w:p>
    <w:p>
      <w:pPr>
        <w:pStyle w:val="TextBody"/>
        <w:bidi w:val="0"/>
        <w:spacing w:before="0" w:after="0"/>
        <w:ind w:left="0" w:right="0" w:firstLine="720"/>
        <w:jc w:val="left"/>
        <w:rPr>
          <w:sz w:val="20"/>
        </w:rPr>
      </w:pPr>
      <w:r>
        <w:rPr>
          <w:sz w:val="20"/>
        </w:rPr>
        <w:t>Room 1811, Xinghuo Keji Plaza, No. 2 Fufeng Road, </w:t>
      </w:r>
    </w:p>
    <w:p>
      <w:pPr>
        <w:pStyle w:val="TextBody"/>
        <w:bidi w:val="0"/>
        <w:spacing w:before="0" w:after="0"/>
        <w:ind w:left="0" w:right="0" w:firstLine="720"/>
        <w:jc w:val="left"/>
        <w:rPr>
          <w:sz w:val="20"/>
        </w:rPr>
      </w:pPr>
      <w:r>
        <w:rPr>
          <w:sz w:val="20"/>
        </w:rPr>
        <w:t>Fengtai District, Beijing, PRC 100070 </w:t>
      </w:r>
    </w:p>
    <w:p>
      <w:pPr>
        <w:pStyle w:val="TextBody"/>
        <w:bidi w:val="0"/>
        <w:spacing w:before="0" w:after="0"/>
        <w:ind w:left="0" w:right="0" w:firstLine="720"/>
        <w:jc w:val="left"/>
        <w:rPr>
          <w:sz w:val="20"/>
        </w:rPr>
      </w:pPr>
      <w:r>
        <w:rPr>
          <w:sz w:val="20"/>
        </w:rPr>
        <w:t>Attention: Mr. Handong Cheng </w:t>
      </w:r>
    </w:p>
    <w:p>
      <w:pPr>
        <w:pStyle w:val="TextBody"/>
        <w:bidi w:val="0"/>
        <w:spacing w:before="0" w:after="0"/>
        <w:ind w:left="0" w:right="0" w:firstLine="720"/>
        <w:jc w:val="left"/>
        <w:rPr>
          <w:sz w:val="20"/>
        </w:rPr>
      </w:pPr>
      <w:r>
        <w:rPr>
          <w:sz w:val="20"/>
        </w:rPr>
        <w:t>Tel. No.: +86-10-51600828 </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 </w:t>
      </w:r>
    </w:p>
    <w:p>
      <w:pPr>
        <w:pStyle w:val="TextBody"/>
        <w:bidi w:val="0"/>
        <w:spacing w:before="0" w:after="0"/>
        <w:ind w:left="0" w:right="0" w:firstLine="720"/>
        <w:jc w:val="left"/>
        <w:rPr>
          <w:sz w:val="20"/>
        </w:rPr>
      </w:pPr>
      <w:r>
        <w:rPr>
          <w:sz w:val="20"/>
        </w:rPr>
        <w:t>345 Park Avenue </w:t>
      </w:r>
    </w:p>
    <w:p>
      <w:pPr>
        <w:pStyle w:val="TextBody"/>
        <w:bidi w:val="0"/>
        <w:spacing w:before="0" w:after="0"/>
        <w:ind w:left="0" w:right="0" w:firstLine="720"/>
        <w:jc w:val="left"/>
        <w:rPr>
          <w:sz w:val="20"/>
        </w:rPr>
      </w:pPr>
      <w:r>
        <w:rPr>
          <w:sz w:val="20"/>
        </w:rPr>
        <w:t>New York, NY 10154 </w:t>
      </w:r>
    </w:p>
    <w:p>
      <w:pPr>
        <w:pStyle w:val="TextBody"/>
        <w:bidi w:val="0"/>
        <w:spacing w:before="0" w:after="0"/>
        <w:ind w:left="0" w:right="0" w:firstLine="720"/>
        <w:jc w:val="left"/>
        <w:rPr>
          <w:sz w:val="20"/>
        </w:rPr>
      </w:pPr>
      <w:r>
        <w:rPr>
          <w:sz w:val="20"/>
        </w:rPr>
        <w:t>Attention: Mitchell S. Nussbaum, Esq. </w:t>
      </w:r>
    </w:p>
    <w:p>
      <w:pPr>
        <w:pStyle w:val="TextBody"/>
        <w:bidi w:val="0"/>
        <w:spacing w:before="0" w:after="0"/>
        <w:ind w:left="0" w:right="0" w:firstLine="720"/>
        <w:jc w:val="left"/>
        <w:rPr>
          <w:sz w:val="20"/>
        </w:rPr>
      </w:pPr>
      <w:r>
        <w:rPr>
          <w:sz w:val="20"/>
        </w:rPr>
        <w:t>Tel. No.: (212) 407-4000 </w:t>
      </w:r>
    </w:p>
    <w:p>
      <w:pPr>
        <w:pStyle w:val="TextBody"/>
        <w:bidi w:val="0"/>
        <w:spacing w:before="0" w:after="0"/>
        <w:ind w:left="0" w:right="0" w:firstLine="720"/>
        <w:jc w:val="left"/>
        <w:rPr>
          <w:sz w:val="20"/>
        </w:rPr>
      </w:pPr>
      <w:r>
        <w:rPr>
          <w:sz w:val="20"/>
        </w:rPr>
        <w:t>Fax No.: (212) 407-4990</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 </w:t>
      </w:r>
    </w:p>
    <w:p>
      <w:pPr>
        <w:pStyle w:val="TextBody"/>
        <w:bidi w:val="0"/>
        <w:spacing w:before="0" w:after="0"/>
        <w:ind w:left="0" w:right="0" w:firstLine="720"/>
        <w:jc w:val="left"/>
        <w:rPr>
          <w:sz w:val="20"/>
        </w:rPr>
      </w:pPr>
      <w:r>
        <w:rPr>
          <w:sz w:val="20"/>
        </w:rPr>
        <w:t>Marvel Investment Limited </w:t>
      </w:r>
    </w:p>
    <w:p>
      <w:pPr>
        <w:pStyle w:val="TextBody"/>
        <w:bidi w:val="0"/>
        <w:spacing w:before="0" w:after="0"/>
        <w:ind w:left="0" w:right="0" w:firstLine="720"/>
        <w:jc w:val="left"/>
        <w:rPr>
          <w:sz w:val="20"/>
        </w:rPr>
      </w:pPr>
      <w:r>
        <w:rPr>
          <w:sz w:val="20"/>
        </w:rPr>
        <w:t>9F., No.1-1, Sec. 5, Zhongxiao E. Rd., Xinyi Dist., Taipei City Taiwan (R.O.C.) </w:t>
      </w:r>
    </w:p>
    <w:p>
      <w:pPr>
        <w:pStyle w:val="TextBody"/>
        <w:bidi w:val="0"/>
        <w:spacing w:before="0" w:after="0"/>
        <w:ind w:left="0" w:right="0" w:firstLine="720"/>
        <w:jc w:val="left"/>
        <w:rPr>
          <w:sz w:val="20"/>
        </w:rPr>
      </w:pPr>
      <w:r>
        <w:rPr>
          <w:sz w:val="20"/>
        </w:rPr>
        <w:t>Attention: Phoenix Lee </w:t>
      </w:r>
    </w:p>
    <w:p>
      <w:pPr>
        <w:pStyle w:val="TextBody"/>
        <w:bidi w:val="0"/>
        <w:spacing w:before="0" w:after="0"/>
        <w:ind w:left="0" w:right="0" w:firstLine="720"/>
        <w:jc w:val="left"/>
        <w:rPr>
          <w:sz w:val="20"/>
        </w:rPr>
      </w:pPr>
      <w:r>
        <w:rPr>
          <w:sz w:val="20"/>
        </w:rPr>
        <w:t>Tel. No.: +886 988981133</w:t>
      </w:r>
    </w:p>
    <w:p>
      <w:pPr>
        <w:pStyle w:val="TextBody"/>
        <w:bidi w:val="0"/>
        <w:spacing w:before="0" w:after="0"/>
        <w:ind w:left="0" w:right="0" w:firstLine="720"/>
        <w:jc w:val="left"/>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7.12</w:t>
      </w:r>
      <w:r>
        <w:rPr>
          <w:sz w:val="20"/>
          <w:u w:val="single"/>
        </w:rPr>
        <w:t xml:space="preserve"> 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7.13 </w:t>
      </w:r>
      <w:r>
        <w:rPr>
          <w:sz w:val="20"/>
          <w:u w:val="single"/>
        </w:rPr>
        <w:t>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59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p>
            <w:pPr>
              <w:pStyle w:val="TableContents"/>
              <w:bidi w:val="0"/>
              <w:spacing w:before="0" w:after="0"/>
              <w:ind w:left="600" w:right="0" w:hanging="60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July 30, 2026.</w:t>
      </w:r>
    </w:p>
    <w:p>
      <w:pPr>
        <w:pStyle w:val="TextBody"/>
        <w:bidi w:val="0"/>
        <w:spacing w:before="0" w:after="0"/>
        <w:ind w:left="0" w:right="0" w:firstLine="72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3154" w:type="dxa"/>
        <w:jc w:val="left"/>
        <w:tblInd w:w="0" w:type="dxa"/>
        <w:tblLayout w:type="fixed"/>
        <w:tblCellMar>
          <w:top w:w="0" w:type="dxa"/>
          <w:left w:w="0" w:type="dxa"/>
          <w:bottom w:w="0" w:type="dxa"/>
          <w:right w:w="0" w:type="dxa"/>
        </w:tblCellMar>
      </w:tblPr>
      <w:tblGrid>
        <w:gridCol w:w="75"/>
        <w:gridCol w:w="433"/>
        <w:gridCol w:w="2646"/>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sz w:val="20"/>
              </w:rPr>
            </w:pPr>
            <w:r>
              <w:rPr>
                <w:sz w:val="20"/>
              </w:rPr>
              <w:t>MARVEL INVESTMENTS LIMITED</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sz w:val="20"/>
              </w:rPr>
            </w:pPr>
            <w:r>
              <w:rPr>
                <w:sz w:val="20"/>
              </w:rPr>
              <w:t>By:</w:t>
            </w:r>
          </w:p>
        </w:tc>
        <w:tc>
          <w:tcPr>
            <w:tcW w:w="2646"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Chu Kai, George</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sz w:val="20"/>
              </w:rPr>
            </w:pPr>
            <w:r>
              <w:rPr>
                <w:sz w:val="20"/>
              </w:rPr>
              <w:t>Name: Chu Kai, George</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____________________________________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July 30, 2026 by and among ZW Data Action Technologies Inc., a Nevada corporation (NASDAQ: CNET) (the “Company”), and Marvel Investment Limited, a British Virgin Island business company (BVI Company Number: 1999041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300,000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hanging="0"/>
        <w:jc w:val="both"/>
        <w:rPr/>
      </w:pPr>
      <w:r>
        <w:rPr/>
        <w:t> </w:t>
      </w:r>
    </w:p>
    <w:p>
      <w:pPr>
        <w:pStyle w:val="TextBody"/>
        <w:bidi w:val="0"/>
        <w:spacing w:before="0" w:after="0"/>
        <w:ind w:left="667" w:right="0" w:hanging="0"/>
        <w:jc w:val="both"/>
        <w:rPr>
          <w:sz w:val="20"/>
        </w:rPr>
      </w:pPr>
      <w:r>
        <w:rPr>
          <w:sz w:val="20"/>
        </w:rPr>
        <w:t>Marvel Investment Limited</w:t>
      </w:r>
    </w:p>
    <w:p>
      <w:pPr>
        <w:pStyle w:val="TextBody"/>
        <w:bidi w:val="0"/>
        <w:spacing w:before="0" w:after="0"/>
        <w:ind w:left="667" w:right="0" w:hanging="0"/>
        <w:jc w:val="both"/>
        <w:rPr>
          <w:sz w:val="20"/>
        </w:rPr>
      </w:pPr>
      <w:r>
        <w:rPr>
          <w:sz w:val="20"/>
        </w:rPr>
        <w:t>9F., No.1-1, Sec. 5, Zhongxiao E. Rd., Xinyi Dist., Taipei City Taiwan (R.O.C.)</w:t>
      </w:r>
    </w:p>
    <w:p>
      <w:pPr>
        <w:pStyle w:val="TextBody"/>
        <w:bidi w:val="0"/>
        <w:spacing w:before="0" w:after="0"/>
        <w:ind w:left="667" w:right="0" w:hanging="0"/>
        <w:jc w:val="both"/>
        <w:rPr>
          <w:sz w:val="20"/>
        </w:rPr>
      </w:pPr>
      <w:r>
        <w:rPr>
          <w:sz w:val="20"/>
        </w:rPr>
        <w:t>Attention: Phoenix Lee</w:t>
      </w:r>
    </w:p>
    <w:p>
      <w:pPr>
        <w:pStyle w:val="TextBody"/>
        <w:bidi w:val="0"/>
        <w:spacing w:before="0" w:after="0"/>
        <w:ind w:left="667" w:right="0" w:hanging="0"/>
        <w:jc w:val="both"/>
        <w:rPr>
          <w:sz w:val="20"/>
        </w:rPr>
      </w:pPr>
      <w:r>
        <w:rPr>
          <w:sz w:val="20"/>
        </w:rPr>
        <w:t>Tel. No.: +886 988981133</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3904" w:type="dxa"/>
        <w:jc w:val="left"/>
        <w:tblInd w:w="0" w:type="dxa"/>
        <w:tblLayout w:type="fixed"/>
        <w:tblCellMar>
          <w:top w:w="0" w:type="dxa"/>
          <w:left w:w="0" w:type="dxa"/>
          <w:bottom w:w="0" w:type="dxa"/>
          <w:right w:w="0" w:type="dxa"/>
        </w:tblCellMar>
      </w:tblPr>
      <w:tblGrid>
        <w:gridCol w:w="75"/>
        <w:gridCol w:w="466"/>
        <w:gridCol w:w="3363"/>
      </w:tblGrid>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sz w:val="20"/>
              </w:rPr>
            </w:pPr>
            <w:r>
              <w:rPr>
                <w:sz w:val="20"/>
              </w:rPr>
              <w:t>By:</w:t>
            </w:r>
          </w:p>
        </w:tc>
        <w:tc>
          <w:tcPr>
            <w:tcW w:w="3363"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left"/>
              <w:rPr>
                <w:b/>
                <w:sz w:val="20"/>
              </w:rPr>
            </w:pPr>
            <w:r>
              <w:rPr>
                <w:b/>
                <w:sz w:val="20"/>
              </w:rPr>
              <w:t>MARVEL INVESTMENT LIMITED</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By:</w:t>
            </w:r>
          </w:p>
        </w:tc>
        <w:tc>
          <w:tcPr>
            <w:tcW w:w="3363" w:type="dxa"/>
            <w:tcBorders>
              <w:bottom w:val="single" w:sz="8" w:space="0" w:color="000000"/>
            </w:tcBorders>
            <w:tcMar>
              <w:bottom w:w="28" w:type="dxa"/>
            </w:tcMar>
            <w:vAlign w:val="center"/>
          </w:tcPr>
          <w:p>
            <w:pPr>
              <w:pStyle w:val="TableContents"/>
              <w:bidi w:val="0"/>
              <w:spacing w:before="0" w:after="283"/>
              <w:jc w:val="both"/>
              <w:rPr/>
            </w:pPr>
            <w:r>
              <w:rPr/>
              <w:t>/s/ Chu Kai, George</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Name: Chu Kai, George</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sz w:val="20"/>
        </w:rPr>
      </w:pPr>
      <w:r>
        <w:rPr>
          <w:sz w:val="20"/>
        </w:rPr>
        <w:t>4</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0" w:name="exh_103.htm"/>
      <w:bookmarkStart w:id="21" w:name="ksexh_103"/>
      <w:bookmarkEnd w:id="20"/>
      <w:bookmarkEnd w:id="21"/>
      <w:r>
        <w:rPr>
          <w:b/>
        </w:rPr>
        <w:t>Exhibit 10.3</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July 30, 2026 by and among ZW Data Action Technologies Inc., a Nevada corporation (NASDAQ: CNET) (the “</w:t>
      </w:r>
      <w:r>
        <w:rPr>
          <w:sz w:val="20"/>
          <w:u w:val="single"/>
        </w:rPr>
        <w:t>Company</w:t>
      </w:r>
      <w:r>
        <w:rPr>
          <w:sz w:val="20"/>
        </w:rPr>
        <w:t>”), and Matrix International Limited, a British Virgin Islands business company (BVI Company number: 1926935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Purchase and Sale of Common Stock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150,000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$1.45 per Share (the “</w:t>
      </w:r>
      <w:r>
        <w:rPr>
          <w:sz w:val="20"/>
          <w:u w:val="single"/>
        </w:rPr>
        <w:t>Purchase Price</w:t>
      </w:r>
      <w:r>
        <w:rPr>
          <w:sz w:val="20"/>
        </w:rPr>
        <w:t>”) for an aggregate purchase price of $217,500.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July 30, 2026,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July 30, 2026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July 30, 2026,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3.2 </w:t>
      </w:r>
      <w:r>
        <w:rPr>
          <w:sz w:val="20"/>
          <w:u w:val="single"/>
        </w:rPr>
        <w:t>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3.3 </w:t>
      </w:r>
      <w:r>
        <w:rPr>
          <w:sz w:val="20"/>
          <w:u w:val="single"/>
        </w:rPr>
        <w:t>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3.4</w:t>
      </w:r>
      <w:r>
        <w:rPr>
          <w:sz w:val="20"/>
          <w:u w:val="single"/>
        </w:rPr>
        <w:t xml:space="preserve"> 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3.5 </w:t>
      </w:r>
      <w:r>
        <w:rPr>
          <w:sz w:val="20"/>
          <w:u w:val="single"/>
        </w:rPr>
        <w:t>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ZW Data Action Technologies Inc. </w:t>
      </w:r>
    </w:p>
    <w:p>
      <w:pPr>
        <w:pStyle w:val="TextBody"/>
        <w:bidi w:val="0"/>
        <w:spacing w:before="0" w:after="0"/>
        <w:ind w:left="0" w:right="0" w:firstLine="720"/>
        <w:jc w:val="left"/>
        <w:rPr>
          <w:sz w:val="20"/>
        </w:rPr>
      </w:pPr>
      <w:r>
        <w:rPr>
          <w:sz w:val="20"/>
        </w:rPr>
        <w:t>Room 1811, Xinghuo Keji Plaza, No. 2 Fufeng Road, </w:t>
      </w:r>
    </w:p>
    <w:p>
      <w:pPr>
        <w:pStyle w:val="TextBody"/>
        <w:bidi w:val="0"/>
        <w:spacing w:before="0" w:after="0"/>
        <w:ind w:left="0" w:right="0" w:firstLine="720"/>
        <w:jc w:val="left"/>
        <w:rPr>
          <w:sz w:val="20"/>
        </w:rPr>
      </w:pPr>
      <w:r>
        <w:rPr>
          <w:sz w:val="20"/>
        </w:rPr>
        <w:t>Fengtai District, Beijing, PRC 100070 </w:t>
      </w:r>
    </w:p>
    <w:p>
      <w:pPr>
        <w:pStyle w:val="TextBody"/>
        <w:bidi w:val="0"/>
        <w:spacing w:before="0" w:after="0"/>
        <w:ind w:left="0" w:right="0" w:firstLine="720"/>
        <w:jc w:val="left"/>
        <w:rPr>
          <w:sz w:val="20"/>
        </w:rPr>
      </w:pPr>
      <w:r>
        <w:rPr>
          <w:sz w:val="20"/>
        </w:rPr>
        <w:t>Attention: Mr. Handong Cheng </w:t>
      </w:r>
    </w:p>
    <w:p>
      <w:pPr>
        <w:pStyle w:val="TextBody"/>
        <w:bidi w:val="0"/>
        <w:spacing w:before="0" w:after="0"/>
        <w:ind w:left="0" w:right="0" w:firstLine="720"/>
        <w:jc w:val="left"/>
        <w:rPr>
          <w:sz w:val="20"/>
        </w:rPr>
      </w:pPr>
      <w:r>
        <w:rPr>
          <w:sz w:val="20"/>
        </w:rPr>
        <w:t>Tel. No.: +86-10-51600828 </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 </w:t>
      </w:r>
    </w:p>
    <w:p>
      <w:pPr>
        <w:pStyle w:val="TextBody"/>
        <w:bidi w:val="0"/>
        <w:spacing w:before="0" w:after="0"/>
        <w:ind w:left="0" w:right="0" w:firstLine="720"/>
        <w:jc w:val="left"/>
        <w:rPr>
          <w:sz w:val="20"/>
        </w:rPr>
      </w:pPr>
      <w:r>
        <w:rPr>
          <w:sz w:val="20"/>
        </w:rPr>
        <w:t>345 Park Avenue </w:t>
      </w:r>
    </w:p>
    <w:p>
      <w:pPr>
        <w:pStyle w:val="TextBody"/>
        <w:bidi w:val="0"/>
        <w:spacing w:before="0" w:after="0"/>
        <w:ind w:left="0" w:right="0" w:firstLine="720"/>
        <w:jc w:val="left"/>
        <w:rPr>
          <w:sz w:val="20"/>
        </w:rPr>
      </w:pPr>
      <w:r>
        <w:rPr>
          <w:sz w:val="20"/>
        </w:rPr>
        <w:t>New York, NY 10154 </w:t>
      </w:r>
    </w:p>
    <w:p>
      <w:pPr>
        <w:pStyle w:val="TextBody"/>
        <w:bidi w:val="0"/>
        <w:spacing w:before="0" w:after="0"/>
        <w:ind w:left="0" w:right="0" w:firstLine="720"/>
        <w:jc w:val="left"/>
        <w:rPr>
          <w:sz w:val="20"/>
        </w:rPr>
      </w:pPr>
      <w:r>
        <w:rPr>
          <w:sz w:val="20"/>
        </w:rPr>
        <w:t>Attention: Mitchell S. Nussbaum, Esq. </w:t>
      </w:r>
    </w:p>
    <w:p>
      <w:pPr>
        <w:pStyle w:val="TextBody"/>
        <w:bidi w:val="0"/>
        <w:spacing w:before="0" w:after="0"/>
        <w:ind w:left="0" w:right="0" w:firstLine="720"/>
        <w:jc w:val="left"/>
        <w:rPr>
          <w:sz w:val="20"/>
        </w:rPr>
      </w:pPr>
      <w:r>
        <w:rPr>
          <w:sz w:val="20"/>
        </w:rPr>
        <w:t>Tel. No.: (212) 407-4000 </w:t>
      </w:r>
    </w:p>
    <w:p>
      <w:pPr>
        <w:pStyle w:val="TextBody"/>
        <w:bidi w:val="0"/>
        <w:spacing w:before="0" w:after="0"/>
        <w:ind w:left="0" w:right="0" w:firstLine="720"/>
        <w:jc w:val="left"/>
        <w:rPr>
          <w:sz w:val="20"/>
        </w:rPr>
      </w:pPr>
      <w:r>
        <w:rPr>
          <w:sz w:val="20"/>
        </w:rPr>
        <w:t>Fax No.: (212) 407-4990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 </w:t>
      </w:r>
    </w:p>
    <w:p>
      <w:pPr>
        <w:pStyle w:val="TextBody"/>
        <w:bidi w:val="0"/>
        <w:spacing w:before="0" w:after="0"/>
        <w:ind w:left="727" w:right="0" w:hanging="0"/>
        <w:jc w:val="both"/>
        <w:rPr>
          <w:sz w:val="20"/>
        </w:rPr>
      </w:pPr>
      <w:r>
        <w:rPr>
          <w:sz w:val="20"/>
        </w:rPr>
        <w:t>Matrix International Limited</w:t>
      </w:r>
    </w:p>
    <w:p>
      <w:pPr>
        <w:pStyle w:val="TextBody"/>
        <w:bidi w:val="0"/>
        <w:spacing w:before="0" w:after="0"/>
        <w:ind w:left="727" w:right="0" w:hanging="0"/>
        <w:jc w:val="both"/>
        <w:rPr>
          <w:sz w:val="20"/>
        </w:rPr>
      </w:pPr>
      <w:r>
        <w:rPr>
          <w:sz w:val="20"/>
        </w:rPr>
        <w:t>Rm803, 8/F, iHome Centre, 365 Lockhart Road, Wanchai, Hong Kong </w:t>
      </w:r>
    </w:p>
    <w:p>
      <w:pPr>
        <w:pStyle w:val="TextBody"/>
        <w:bidi w:val="0"/>
        <w:spacing w:before="0" w:after="0"/>
        <w:ind w:left="727" w:right="0" w:hanging="0"/>
        <w:jc w:val="both"/>
        <w:rPr>
          <w:sz w:val="20"/>
        </w:rPr>
      </w:pPr>
      <w:r>
        <w:rPr>
          <w:sz w:val="20"/>
        </w:rPr>
        <w:t>Attention: Adrian Chan </w:t>
      </w:r>
    </w:p>
    <w:p>
      <w:pPr>
        <w:pStyle w:val="TextBody"/>
        <w:bidi w:val="0"/>
        <w:spacing w:before="0" w:after="0"/>
        <w:ind w:left="727" w:right="0" w:hanging="0"/>
        <w:jc w:val="both"/>
        <w:rPr>
          <w:sz w:val="20"/>
        </w:rPr>
      </w:pPr>
      <w:r>
        <w:rPr>
          <w:sz w:val="20"/>
        </w:rPr>
        <w:t>Tel: +852 9731 5050</w:t>
      </w:r>
    </w:p>
    <w:p>
      <w:pPr>
        <w:pStyle w:val="TextBody"/>
        <w:bidi w:val="0"/>
        <w:spacing w:before="0" w:after="0"/>
        <w:ind w:left="727" w:right="0" w:hanging="0"/>
        <w:jc w:val="both"/>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7.12</w:t>
      </w:r>
      <w:r>
        <w:rPr>
          <w:sz w:val="20"/>
          <w:u w:val="single"/>
        </w:rPr>
        <w:t xml:space="preserve"> 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7.13 </w:t>
      </w:r>
      <w:r>
        <w:rPr>
          <w:sz w:val="20"/>
          <w:u w:val="single"/>
        </w:rPr>
        <w:t>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59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p>
            <w:pPr>
              <w:pStyle w:val="TableContents"/>
              <w:bidi w:val="0"/>
              <w:spacing w:before="0" w:after="0"/>
              <w:ind w:left="600" w:right="0" w:hanging="60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July 30, 2026.</w:t>
      </w:r>
    </w:p>
    <w:p>
      <w:pPr>
        <w:pStyle w:val="TextBody"/>
        <w:bidi w:val="0"/>
        <w:spacing w:before="0" w:after="0"/>
        <w:ind w:left="0" w:right="0" w:firstLine="72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sz w:val="20"/>
              </w:rPr>
            </w:pPr>
            <w:r>
              <w:rPr>
                <w:sz w:val="20"/>
              </w:rPr>
              <w:t>MATRIX INTERNATIONAL LIMITED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09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CHAN, Wan Tsun Adrian Alan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Name: CHAN, Wan Tsun Adrian Alan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___________________________________</w:t>
      </w:r>
    </w:p>
    <w:p>
      <w:pPr>
        <w:pStyle w:val="TextBody"/>
        <w:bidi w:val="0"/>
        <w:spacing w:before="0" w:after="0"/>
        <w:jc w:val="center"/>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July 30, 2026 by and among ZW Data Action Technologies Inc., a Nevada corporation (NASDAQ: CNET) (the “Company”), and Matrix International Limited, a British Virgin Islands business company (BVI Company number: 1926935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150,000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hanging="0"/>
        <w:jc w:val="both"/>
        <w:rPr/>
      </w:pPr>
      <w:r>
        <w:rPr/>
        <w:t> </w:t>
      </w:r>
    </w:p>
    <w:p>
      <w:pPr>
        <w:pStyle w:val="TextBody"/>
        <w:bidi w:val="0"/>
        <w:spacing w:before="0" w:after="0"/>
        <w:ind w:left="719" w:right="0" w:hanging="0"/>
        <w:jc w:val="both"/>
        <w:rPr>
          <w:sz w:val="20"/>
        </w:rPr>
      </w:pPr>
      <w:r>
        <w:rPr>
          <w:sz w:val="20"/>
        </w:rPr>
        <w:t>Matrix International Limited</w:t>
      </w:r>
    </w:p>
    <w:p>
      <w:pPr>
        <w:pStyle w:val="TextBody"/>
        <w:bidi w:val="0"/>
        <w:spacing w:before="0" w:after="0"/>
        <w:ind w:left="719" w:right="0" w:hanging="0"/>
        <w:jc w:val="both"/>
        <w:rPr>
          <w:sz w:val="20"/>
        </w:rPr>
      </w:pPr>
      <w:r>
        <w:rPr>
          <w:sz w:val="20"/>
        </w:rPr>
        <w:t>Attention: Adrian Chan</w:t>
      </w:r>
    </w:p>
    <w:p>
      <w:pPr>
        <w:pStyle w:val="TextBody"/>
        <w:bidi w:val="0"/>
        <w:spacing w:before="0" w:after="0"/>
        <w:ind w:left="719" w:right="0" w:hanging="0"/>
        <w:jc w:val="both"/>
        <w:rPr>
          <w:sz w:val="20"/>
        </w:rPr>
      </w:pPr>
      <w:r>
        <w:rPr>
          <w:sz w:val="20"/>
        </w:rPr>
        <w:t>Address: Rm 803, 8/F, iHome Centre, 365 Lockhart Road, Wanchai, Hong Kong</w:t>
      </w:r>
    </w:p>
    <w:p>
      <w:pPr>
        <w:pStyle w:val="TextBody"/>
        <w:bidi w:val="0"/>
        <w:spacing w:before="0" w:after="0"/>
        <w:ind w:left="719" w:right="0" w:hanging="0"/>
        <w:jc w:val="both"/>
        <w:rPr>
          <w:sz w:val="20"/>
        </w:rPr>
      </w:pPr>
      <w:r>
        <w:rPr>
          <w:sz w:val="20"/>
        </w:rPr>
        <w:t>Tel: +852 9731 5050</w:t>
      </w:r>
    </w:p>
    <w:p>
      <w:pPr>
        <w:pStyle w:val="TextBody"/>
        <w:bidi w:val="0"/>
        <w:spacing w:before="0" w:after="0"/>
        <w:ind w:left="719" w:right="0" w:hanging="0"/>
        <w:jc w:val="both"/>
        <w:rPr>
          <w:sz w:val="20"/>
        </w:rPr>
      </w:pPr>
      <w:r>
        <w:rPr>
          <w:sz w:val="20"/>
        </w:rPr>
        <w:t>Email: aawtchan@yahoo.com.hk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3904" w:type="dxa"/>
        <w:jc w:val="left"/>
        <w:tblInd w:w="0" w:type="dxa"/>
        <w:tblLayout w:type="fixed"/>
        <w:tblCellMar>
          <w:top w:w="0" w:type="dxa"/>
          <w:left w:w="0" w:type="dxa"/>
          <w:bottom w:w="0" w:type="dxa"/>
          <w:right w:w="0" w:type="dxa"/>
        </w:tblCellMar>
      </w:tblPr>
      <w:tblGrid>
        <w:gridCol w:w="75"/>
        <w:gridCol w:w="374"/>
        <w:gridCol w:w="3455"/>
      </w:tblGrid>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sz w:val="20"/>
              </w:rPr>
            </w:pPr>
            <w:r>
              <w:rPr>
                <w:sz w:val="20"/>
              </w:rPr>
              <w:t>By:</w:t>
            </w:r>
          </w:p>
        </w:tc>
        <w:tc>
          <w:tcPr>
            <w:tcW w:w="3455"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left"/>
              <w:rPr>
                <w:b/>
                <w:sz w:val="20"/>
              </w:rPr>
            </w:pPr>
            <w:r>
              <w:rPr>
                <w:b/>
                <w:sz w:val="20"/>
              </w:rPr>
              <w:t>MATRIX INTERNATIONAL LIMITED</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By:</w:t>
            </w:r>
          </w:p>
        </w:tc>
        <w:tc>
          <w:tcPr>
            <w:tcW w:w="3455" w:type="dxa"/>
            <w:tcBorders>
              <w:bottom w:val="single" w:sz="8" w:space="0" w:color="000000"/>
            </w:tcBorders>
            <w:tcMar>
              <w:bottom w:w="28" w:type="dxa"/>
            </w:tcMar>
            <w:vAlign w:val="center"/>
          </w:tcPr>
          <w:p>
            <w:pPr>
              <w:pStyle w:val="TableContents"/>
              <w:bidi w:val="0"/>
              <w:spacing w:before="0" w:after="283"/>
              <w:jc w:val="both"/>
              <w:rPr/>
            </w:pPr>
            <w:r>
              <w:rPr/>
              <w:t>/s/ CHAN, Wan Tsun Adrian Alan</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both"/>
              <w:rPr>
                <w:sz w:val="20"/>
              </w:rPr>
            </w:pPr>
            <w:r>
              <w:rPr>
                <w:sz w:val="20"/>
              </w:rPr>
              <w:t>Name: CHAN, Wan Tsun Adrian Alan</w:t>
            </w:r>
          </w:p>
        </w:tc>
      </w:tr>
      <w:tr>
        <w:trPr/>
        <w:tc>
          <w:tcPr>
            <w:tcW w:w="75" w:type="dxa"/>
            <w:tcBorders/>
            <w:vAlign w:val="center"/>
          </w:tcPr>
          <w:p>
            <w:pPr>
              <w:pStyle w:val="TableContents"/>
              <w:bidi w:val="0"/>
              <w:spacing w:before="0" w:after="283"/>
              <w:jc w:val="both"/>
              <w:rPr/>
            </w:pPr>
            <w:r>
              <w:rPr/>
              <w:t> </w:t>
            </w:r>
          </w:p>
        </w:tc>
        <w:tc>
          <w:tcPr>
            <w:tcW w:w="374"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sz w:val="20"/>
        </w:rPr>
      </w:pPr>
      <w:r>
        <w:rPr>
          <w:sz w:val="20"/>
        </w:rPr>
        <w:t>4</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2" w:name="exh_104.htm"/>
      <w:bookmarkStart w:id="23" w:name="ksexh_104"/>
      <w:bookmarkEnd w:id="22"/>
      <w:bookmarkEnd w:id="23"/>
      <w:r>
        <w:rPr>
          <w:b/>
        </w:rPr>
        <w:t>Exhibit 10.4</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July 30, 2026 by and among ZW Data Action Technologies Inc., a Nevada corporation (NASDAQ: CNET) (the “</w:t>
      </w:r>
      <w:r>
        <w:rPr>
          <w:sz w:val="20"/>
          <w:u w:val="single"/>
        </w:rPr>
        <w:t>Company</w:t>
      </w:r>
      <w:r>
        <w:rPr>
          <w:sz w:val="20"/>
        </w:rPr>
        <w:t>”), and Optimal Success Investments Limited, a British Virgin Islands business company (BVI Company number: 2091150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Purchase and Sale of Common Stock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150,000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$1.45 per Share (the “</w:t>
      </w:r>
      <w:r>
        <w:rPr>
          <w:sz w:val="20"/>
          <w:u w:val="single"/>
        </w:rPr>
        <w:t>Purchase Price</w:t>
      </w:r>
      <w:r>
        <w:rPr>
          <w:sz w:val="20"/>
        </w:rPr>
        <w:t>”) for an aggregate purchase price of $217,500.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July 30, 2026,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July 30, 2026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July 30, 2026,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3.2 </w:t>
      </w:r>
      <w:r>
        <w:rPr>
          <w:sz w:val="20"/>
          <w:u w:val="single"/>
        </w:rPr>
        <w:t>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3.3</w:t>
      </w:r>
      <w:r>
        <w:rPr>
          <w:sz w:val="20"/>
          <w:u w:val="single"/>
        </w:rPr>
        <w:t xml:space="preserve"> 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3.4</w:t>
      </w:r>
      <w:r>
        <w:rPr>
          <w:sz w:val="20"/>
          <w:u w:val="single"/>
        </w:rPr>
        <w:t xml:space="preserve"> 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3.5</w:t>
      </w:r>
      <w:r>
        <w:rPr>
          <w:sz w:val="20"/>
          <w:u w:val="single"/>
        </w:rPr>
        <w:t xml:space="preserve"> 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ZW Data Action Technologies Inc. </w:t>
      </w:r>
    </w:p>
    <w:p>
      <w:pPr>
        <w:pStyle w:val="TextBody"/>
        <w:bidi w:val="0"/>
        <w:spacing w:before="0" w:after="0"/>
        <w:ind w:left="0" w:right="0" w:firstLine="720"/>
        <w:jc w:val="left"/>
        <w:rPr>
          <w:sz w:val="20"/>
        </w:rPr>
      </w:pPr>
      <w:r>
        <w:rPr>
          <w:sz w:val="20"/>
        </w:rPr>
        <w:t>Room 1811, Xinghuo Keji Plaza, No. 2 Fufeng Road, </w:t>
      </w:r>
    </w:p>
    <w:p>
      <w:pPr>
        <w:pStyle w:val="TextBody"/>
        <w:bidi w:val="0"/>
        <w:spacing w:before="0" w:after="0"/>
        <w:ind w:left="0" w:right="0" w:firstLine="720"/>
        <w:jc w:val="left"/>
        <w:rPr>
          <w:sz w:val="20"/>
        </w:rPr>
      </w:pPr>
      <w:r>
        <w:rPr>
          <w:sz w:val="20"/>
        </w:rPr>
        <w:t>Fengtai District, Beijing, PRC 100070 </w:t>
      </w:r>
    </w:p>
    <w:p>
      <w:pPr>
        <w:pStyle w:val="TextBody"/>
        <w:bidi w:val="0"/>
        <w:spacing w:before="0" w:after="0"/>
        <w:ind w:left="0" w:right="0" w:firstLine="720"/>
        <w:jc w:val="left"/>
        <w:rPr>
          <w:sz w:val="20"/>
        </w:rPr>
      </w:pPr>
      <w:r>
        <w:rPr>
          <w:sz w:val="20"/>
        </w:rPr>
        <w:t>Attention: Mr. Handong Cheng </w:t>
      </w:r>
    </w:p>
    <w:p>
      <w:pPr>
        <w:pStyle w:val="TextBody"/>
        <w:bidi w:val="0"/>
        <w:spacing w:before="0" w:after="0"/>
        <w:ind w:left="0" w:right="0" w:firstLine="720"/>
        <w:jc w:val="left"/>
        <w:rPr>
          <w:sz w:val="20"/>
        </w:rPr>
      </w:pPr>
      <w:r>
        <w:rPr>
          <w:sz w:val="20"/>
        </w:rPr>
        <w:t>Tel. No.: +86-10-51600828 </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 </w:t>
      </w:r>
    </w:p>
    <w:p>
      <w:pPr>
        <w:pStyle w:val="TextBody"/>
        <w:bidi w:val="0"/>
        <w:spacing w:before="0" w:after="0"/>
        <w:ind w:left="0" w:right="0" w:firstLine="720"/>
        <w:jc w:val="left"/>
        <w:rPr>
          <w:sz w:val="20"/>
        </w:rPr>
      </w:pPr>
      <w:r>
        <w:rPr>
          <w:sz w:val="20"/>
        </w:rPr>
        <w:t>345 Park Avenue </w:t>
      </w:r>
    </w:p>
    <w:p>
      <w:pPr>
        <w:pStyle w:val="TextBody"/>
        <w:bidi w:val="0"/>
        <w:spacing w:before="0" w:after="0"/>
        <w:ind w:left="0" w:right="0" w:firstLine="720"/>
        <w:jc w:val="left"/>
        <w:rPr>
          <w:sz w:val="20"/>
        </w:rPr>
      </w:pPr>
      <w:r>
        <w:rPr>
          <w:sz w:val="20"/>
        </w:rPr>
        <w:t>New York, NY 10154 </w:t>
      </w:r>
    </w:p>
    <w:p>
      <w:pPr>
        <w:pStyle w:val="TextBody"/>
        <w:bidi w:val="0"/>
        <w:spacing w:before="0" w:after="0"/>
        <w:ind w:left="0" w:right="0" w:firstLine="720"/>
        <w:jc w:val="left"/>
        <w:rPr>
          <w:sz w:val="20"/>
        </w:rPr>
      </w:pPr>
      <w:r>
        <w:rPr>
          <w:sz w:val="20"/>
        </w:rPr>
        <w:t>Attention: Mitchell S. Nussbaum, Esq. </w:t>
      </w:r>
    </w:p>
    <w:p>
      <w:pPr>
        <w:pStyle w:val="TextBody"/>
        <w:bidi w:val="0"/>
        <w:spacing w:before="0" w:after="0"/>
        <w:ind w:left="0" w:right="0" w:firstLine="720"/>
        <w:jc w:val="left"/>
        <w:rPr>
          <w:sz w:val="20"/>
        </w:rPr>
      </w:pPr>
      <w:r>
        <w:rPr>
          <w:sz w:val="20"/>
        </w:rPr>
        <w:t>Tel. No.: (212) 407-4000 </w:t>
      </w:r>
    </w:p>
    <w:p>
      <w:pPr>
        <w:pStyle w:val="TextBody"/>
        <w:bidi w:val="0"/>
        <w:spacing w:before="0" w:after="0"/>
        <w:ind w:left="0" w:right="0" w:firstLine="720"/>
        <w:jc w:val="left"/>
        <w:rPr>
          <w:sz w:val="20"/>
        </w:rPr>
      </w:pPr>
      <w:r>
        <w:rPr>
          <w:sz w:val="20"/>
        </w:rPr>
        <w:t>Fax No.: (212) 407-4990</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 </w:t>
      </w:r>
    </w:p>
    <w:p>
      <w:pPr>
        <w:pStyle w:val="TextBody"/>
        <w:bidi w:val="0"/>
        <w:spacing w:before="0" w:after="0"/>
        <w:ind w:left="727" w:right="0" w:hanging="0"/>
        <w:jc w:val="both"/>
        <w:rPr>
          <w:sz w:val="20"/>
        </w:rPr>
      </w:pPr>
      <w:r>
        <w:rPr>
          <w:sz w:val="20"/>
        </w:rPr>
        <w:t>Optimal Success Investments Limited </w:t>
      </w:r>
    </w:p>
    <w:p>
      <w:pPr>
        <w:pStyle w:val="TextBody"/>
        <w:bidi w:val="0"/>
        <w:spacing w:before="0" w:after="0"/>
        <w:ind w:left="727" w:right="0" w:hanging="0"/>
        <w:jc w:val="both"/>
        <w:rPr>
          <w:sz w:val="20"/>
        </w:rPr>
      </w:pPr>
      <w:r>
        <w:rPr>
          <w:sz w:val="20"/>
        </w:rPr>
        <w:t>Unit 1102, 11/F, 29 Austin Road, Tsim Sha Tsui, Kowloon, Hong Kong </w:t>
      </w:r>
    </w:p>
    <w:p>
      <w:pPr>
        <w:pStyle w:val="TextBody"/>
        <w:bidi w:val="0"/>
        <w:spacing w:before="0" w:after="0"/>
        <w:ind w:left="727" w:right="0" w:hanging="0"/>
        <w:jc w:val="both"/>
        <w:rPr>
          <w:sz w:val="20"/>
        </w:rPr>
      </w:pPr>
      <w:r>
        <w:rPr>
          <w:sz w:val="20"/>
        </w:rPr>
        <w:t>Attention: Carrie Tsui </w:t>
      </w:r>
    </w:p>
    <w:p>
      <w:pPr>
        <w:pStyle w:val="TextBody"/>
        <w:bidi w:val="0"/>
        <w:spacing w:before="0" w:after="0"/>
        <w:ind w:left="727" w:right="0" w:hanging="0"/>
        <w:jc w:val="both"/>
        <w:rPr>
          <w:sz w:val="20"/>
        </w:rPr>
      </w:pPr>
      <w:r>
        <w:rPr>
          <w:sz w:val="20"/>
        </w:rPr>
        <w:t>Tel. No.: +85221100018</w:t>
      </w:r>
    </w:p>
    <w:p>
      <w:pPr>
        <w:pStyle w:val="TextBody"/>
        <w:bidi w:val="0"/>
        <w:spacing w:before="0" w:after="0"/>
        <w:ind w:left="727" w:right="0" w:hanging="0"/>
        <w:jc w:val="both"/>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7.12 </w:t>
      </w:r>
      <w:r>
        <w:rPr>
          <w:sz w:val="20"/>
          <w:u w:val="single"/>
        </w:rPr>
        <w:t>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7.13 </w:t>
      </w:r>
      <w:r>
        <w:rPr>
          <w:sz w:val="20"/>
          <w:u w:val="single"/>
        </w:rPr>
        <w:t>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59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p>
            <w:pPr>
              <w:pStyle w:val="TableContents"/>
              <w:bidi w:val="0"/>
              <w:spacing w:before="0" w:after="0"/>
              <w:ind w:left="600" w:right="0" w:hanging="60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July 30, 2026.</w:t>
      </w:r>
    </w:p>
    <w:p>
      <w:pPr>
        <w:pStyle w:val="TextBody"/>
        <w:bidi w:val="0"/>
        <w:spacing w:before="0" w:after="0"/>
        <w:ind w:left="0" w:right="0" w:firstLine="72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4069" w:type="dxa"/>
        <w:jc w:val="left"/>
        <w:tblInd w:w="0" w:type="dxa"/>
        <w:tblLayout w:type="fixed"/>
        <w:tblCellMar>
          <w:top w:w="0" w:type="dxa"/>
          <w:left w:w="0" w:type="dxa"/>
          <w:bottom w:w="0" w:type="dxa"/>
          <w:right w:w="0" w:type="dxa"/>
        </w:tblCellMar>
      </w:tblPr>
      <w:tblGrid>
        <w:gridCol w:w="75"/>
        <w:gridCol w:w="581"/>
        <w:gridCol w:w="3413"/>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sz w:val="20"/>
              </w:rPr>
            </w:pPr>
            <w:r>
              <w:rPr>
                <w:sz w:val="20"/>
              </w:rPr>
              <w:t>OPTIMAL SUCCESS INVESTMENTS LIMITED</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413"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Yiu Yu Cheung</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413" w:type="dxa"/>
            <w:tcBorders/>
            <w:vAlign w:val="center"/>
          </w:tcPr>
          <w:p>
            <w:pPr>
              <w:pStyle w:val="TableContents"/>
              <w:bidi w:val="0"/>
              <w:spacing w:before="0" w:after="283"/>
              <w:jc w:val="left"/>
              <w:rPr>
                <w:sz w:val="20"/>
              </w:rPr>
            </w:pPr>
            <w:r>
              <w:rPr>
                <w:sz w:val="20"/>
              </w:rPr>
              <w:t>Name: Yiu Yu Cheung</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3413"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_______________________________________</w:t>
      </w:r>
    </w:p>
    <w:p>
      <w:pPr>
        <w:pStyle w:val="TextBody"/>
        <w:bidi w:val="0"/>
        <w:spacing w:before="0" w:after="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July 30, 2026 by and among ZW Data Action Technologies Inc., a Nevada corporation (NASDAQ: CNET) (the “Company”), and Optimal Success Investments Limited, a British Virgin Islands business company (BVI Company number: 2091150)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150,000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hanging="0"/>
        <w:jc w:val="both"/>
        <w:rPr/>
      </w:pPr>
      <w:r>
        <w:rPr/>
        <w:t> </w:t>
      </w:r>
    </w:p>
    <w:p>
      <w:pPr>
        <w:pStyle w:val="TextBody"/>
        <w:bidi w:val="0"/>
        <w:spacing w:before="0" w:after="0"/>
        <w:ind w:left="719" w:right="0" w:hanging="0"/>
        <w:jc w:val="both"/>
        <w:rPr>
          <w:sz w:val="20"/>
        </w:rPr>
      </w:pPr>
      <w:r>
        <w:rPr>
          <w:sz w:val="20"/>
        </w:rPr>
        <w:t>Optimal Success Investments Limited</w:t>
      </w:r>
    </w:p>
    <w:p>
      <w:pPr>
        <w:pStyle w:val="TextBody"/>
        <w:bidi w:val="0"/>
        <w:spacing w:before="0" w:after="0"/>
        <w:ind w:left="719" w:right="0" w:hanging="0"/>
        <w:jc w:val="both"/>
        <w:rPr>
          <w:sz w:val="20"/>
        </w:rPr>
      </w:pPr>
      <w:r>
        <w:rPr>
          <w:sz w:val="20"/>
        </w:rPr>
        <w:t>Unit 1102, 11/F, 29 Austin Road, Tsim Sha Tsui, Kowloon, Hong Kong</w:t>
      </w:r>
    </w:p>
    <w:p>
      <w:pPr>
        <w:pStyle w:val="TextBody"/>
        <w:bidi w:val="0"/>
        <w:spacing w:before="0" w:after="0"/>
        <w:ind w:left="719" w:right="0" w:hanging="0"/>
        <w:jc w:val="both"/>
        <w:rPr>
          <w:sz w:val="20"/>
        </w:rPr>
      </w:pPr>
      <w:r>
        <w:rPr>
          <w:sz w:val="20"/>
        </w:rPr>
        <w:t>Attention: Carrie Tsui</w:t>
      </w:r>
    </w:p>
    <w:p>
      <w:pPr>
        <w:pStyle w:val="TextBody"/>
        <w:bidi w:val="0"/>
        <w:spacing w:before="0" w:after="0"/>
        <w:ind w:left="719" w:right="0" w:hanging="0"/>
        <w:jc w:val="both"/>
        <w:rPr>
          <w:sz w:val="20"/>
        </w:rPr>
      </w:pPr>
      <w:r>
        <w:rPr>
          <w:sz w:val="20"/>
        </w:rPr>
        <w:t>Tel. No.: +85221100018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4309" w:type="dxa"/>
        <w:jc w:val="left"/>
        <w:tblInd w:w="0" w:type="dxa"/>
        <w:tblLayout w:type="fixed"/>
        <w:tblCellMar>
          <w:top w:w="0" w:type="dxa"/>
          <w:left w:w="0" w:type="dxa"/>
          <w:bottom w:w="0" w:type="dxa"/>
          <w:right w:w="0" w:type="dxa"/>
        </w:tblCellMar>
      </w:tblPr>
      <w:tblGrid>
        <w:gridCol w:w="75"/>
        <w:gridCol w:w="515"/>
        <w:gridCol w:w="3719"/>
      </w:tblGrid>
      <w:tr>
        <w:trPr/>
        <w:tc>
          <w:tcPr>
            <w:tcW w:w="75" w:type="dxa"/>
            <w:tcBorders/>
            <w:vAlign w:val="center"/>
          </w:tcPr>
          <w:p>
            <w:pPr>
              <w:pStyle w:val="TableContents"/>
              <w:bidi w:val="0"/>
              <w:spacing w:before="0" w:after="283"/>
              <w:jc w:val="both"/>
              <w:rPr/>
            </w:pPr>
            <w:r>
              <w:rPr/>
              <w:t> </w:t>
            </w:r>
          </w:p>
        </w:tc>
        <w:tc>
          <w:tcPr>
            <w:tcW w:w="4234"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sz w:val="20"/>
              </w:rPr>
            </w:pPr>
            <w:r>
              <w:rPr>
                <w:sz w:val="20"/>
              </w:rPr>
              <w:t>By:</w:t>
            </w:r>
          </w:p>
        </w:tc>
        <w:tc>
          <w:tcPr>
            <w:tcW w:w="3719"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234"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4234"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left"/>
              <w:rPr>
                <w:b/>
                <w:sz w:val="20"/>
              </w:rPr>
            </w:pPr>
            <w:r>
              <w:rPr>
                <w:b/>
                <w:sz w:val="20"/>
              </w:rPr>
              <w:t>OPTIMAL SUCCESS INVESTMENTS LIMITED</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By:</w:t>
            </w:r>
          </w:p>
        </w:tc>
        <w:tc>
          <w:tcPr>
            <w:tcW w:w="3719" w:type="dxa"/>
            <w:tcBorders>
              <w:bottom w:val="single" w:sz="8" w:space="0" w:color="000000"/>
            </w:tcBorders>
            <w:tcMar>
              <w:bottom w:w="28" w:type="dxa"/>
            </w:tcMar>
            <w:vAlign w:val="center"/>
          </w:tcPr>
          <w:p>
            <w:pPr>
              <w:pStyle w:val="TableContents"/>
              <w:bidi w:val="0"/>
              <w:spacing w:before="0" w:after="283"/>
              <w:jc w:val="both"/>
              <w:rPr/>
            </w:pPr>
            <w:r>
              <w:rPr/>
              <w:t>/s/ Yiu Yu Cheung</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283"/>
              <w:jc w:val="both"/>
              <w:rPr>
                <w:sz w:val="20"/>
              </w:rPr>
            </w:pPr>
            <w:r>
              <w:rPr>
                <w:sz w:val="20"/>
              </w:rPr>
              <w:t>Name: Yiu Yu Cheung</w:t>
            </w:r>
          </w:p>
        </w:tc>
      </w:tr>
      <w:tr>
        <w:trPr/>
        <w:tc>
          <w:tcPr>
            <w:tcW w:w="75" w:type="dxa"/>
            <w:tcBorders/>
            <w:vAlign w:val="center"/>
          </w:tcPr>
          <w:p>
            <w:pPr>
              <w:pStyle w:val="TableContents"/>
              <w:bidi w:val="0"/>
              <w:spacing w:before="0" w:after="283"/>
              <w:jc w:val="both"/>
              <w:rPr/>
            </w:pPr>
            <w:r>
              <w:rPr/>
              <w:t> </w:t>
            </w:r>
          </w:p>
        </w:tc>
        <w:tc>
          <w:tcPr>
            <w:tcW w:w="515" w:type="dxa"/>
            <w:tcBorders/>
            <w:vAlign w:val="center"/>
          </w:tcPr>
          <w:p>
            <w:pPr>
              <w:pStyle w:val="TableContents"/>
              <w:bidi w:val="0"/>
              <w:spacing w:before="0" w:after="283"/>
              <w:jc w:val="both"/>
              <w:rPr/>
            </w:pPr>
            <w:r>
              <w:rPr/>
              <w:t> </w:t>
            </w:r>
          </w:p>
        </w:tc>
        <w:tc>
          <w:tcPr>
            <w:tcW w:w="3719"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sz w:val="20"/>
        </w:rPr>
      </w:pPr>
      <w:r>
        <w:rPr>
          <w:sz w:val="20"/>
        </w:rPr>
        <w:t>4</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4" w:name="exh_105.htm"/>
      <w:bookmarkStart w:id="25" w:name="ksexh_105"/>
      <w:bookmarkEnd w:id="24"/>
      <w:bookmarkEnd w:id="25"/>
      <w:r>
        <w:rPr>
          <w:b/>
        </w:rPr>
        <w:t>Exhibit 10.5</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SECURITIES PURCHASE AGREEMENT (this “</w:t>
      </w:r>
      <w:r>
        <w:rPr>
          <w:sz w:val="20"/>
          <w:u w:val="single"/>
        </w:rPr>
        <w:t>Agreement</w:t>
      </w:r>
      <w:r>
        <w:rPr>
          <w:sz w:val="20"/>
        </w:rPr>
        <w:t>”) is dated as of July 30, 2026 by and among ZW Data Action Technologies Inc., a Nevada corporation (NASDAQ: CNET) (the “</w:t>
      </w:r>
      <w:r>
        <w:rPr>
          <w:sz w:val="20"/>
          <w:u w:val="single"/>
        </w:rPr>
        <w:t>Company</w:t>
      </w:r>
      <w:r>
        <w:rPr>
          <w:sz w:val="20"/>
        </w:rPr>
        <w:t>”), and Global Yeh Family Ltd., a Republic of China (ROC) business company (Company number: 92600924) (the “</w:t>
      </w:r>
      <w:r>
        <w:rPr>
          <w:sz w:val="20"/>
          <w:u w:val="single"/>
        </w:rPr>
        <w:t>Purchaser</w:t>
      </w:r>
      <w:r>
        <w:rPr>
          <w:sz w:val="20"/>
        </w:rPr>
        <w: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Purchase and Sale of Common Stock </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1.1 </w:t>
      </w:r>
      <w:r>
        <w:rPr>
          <w:sz w:val="20"/>
          <w:u w:val="single"/>
        </w:rPr>
        <w:t>Purchase and Sale of Common Stock</w:t>
      </w:r>
      <w:r>
        <w:rPr>
          <w:sz w:val="20"/>
        </w:rPr>
        <w:t>. Upon the following terms and conditions, the Company is offering to the Purchaser 250,000 shares of common stock (the “</w:t>
      </w:r>
      <w:r>
        <w:rPr>
          <w:sz w:val="20"/>
          <w:u w:val="single"/>
        </w:rPr>
        <w:t>Shares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1.2 </w:t>
      </w:r>
      <w:r>
        <w:rPr>
          <w:sz w:val="20"/>
          <w:u w:val="single"/>
        </w:rPr>
        <w:t>Purchase Price and Closing.</w:t>
      </w:r>
      <w:r>
        <w:rPr>
          <w:sz w:val="20"/>
        </w:rPr>
        <w:t xml:space="preserve"> Subject to the terms and conditions hereof, the Company agrees to issue and sell to the Purchaser and, in consideration of and in express reliance upon the representations, warranties, covenants, terms and conditions of this Agreement, the Purchaser agrees to purchase the Shares for $1.45 per Share (the “</w:t>
      </w:r>
      <w:r>
        <w:rPr>
          <w:sz w:val="20"/>
          <w:u w:val="single"/>
        </w:rPr>
        <w:t>Purchase Price</w:t>
      </w:r>
      <w:r>
        <w:rPr>
          <w:sz w:val="20"/>
        </w:rPr>
        <w:t>”) for an aggregate purchase price of $362,500. The Purchaser shall pay the Purchase Price in full at closing which shall take place at the offices of Loeb &amp; Loeb, LLP, 345 Park Avenue, New York, NY 10154 (the “</w:t>
      </w:r>
      <w:r>
        <w:rPr>
          <w:sz w:val="20"/>
          <w:u w:val="single"/>
        </w:rPr>
        <w:t>Closing</w:t>
      </w:r>
      <w:r>
        <w:rPr>
          <w:sz w:val="20"/>
        </w:rPr>
        <w:t>”) on the date mutually agreed to by the parties (the “</w:t>
      </w:r>
      <w:r>
        <w:rPr>
          <w:sz w:val="20"/>
          <w:u w:val="single"/>
        </w:rPr>
        <w:t>Closing Date</w:t>
      </w:r>
      <w:r>
        <w:rPr>
          <w:sz w:val="20"/>
        </w:rPr>
        <w:t>”). Subject to the terms and conditions of this Agreement, at the Closing, the Company shall deliver or cause to be delivered to Purchaser (x) a certificate for the number of Shares subscribed for and (y) any other documents required to be delivered pursuant to Article IV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Representations and Warranties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2.1 </w:t>
      </w:r>
      <w:r>
        <w:rPr>
          <w:sz w:val="20"/>
          <w:u w:val="single"/>
        </w:rPr>
        <w:t>Representations and Warranties of the Company, its Subsidiaries and the PRC Operating Entities</w:t>
      </w:r>
      <w:r>
        <w:rPr>
          <w:sz w:val="20"/>
        </w:rPr>
        <w:t>. The Company hereby represents and warrants to the Purchaser on behalf of itself, its Subsidiaries (as hereinafter defined) and the PRC Operating Entities (as hereinafter defined), as of the date hereof, as follows: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Good Standing and Power</w:t>
      </w:r>
      <w:r>
        <w:rPr>
          <w:sz w:val="20"/>
        </w:rPr>
        <w:t>. Each of the Company, its Subsidiaries and the PRC Operating Entities is a corporation or other entity duly incorporated or otherwise organized, validly existing and in good standing under the laws of its jurisdiction of incorporation or organization (as applicable) and has the requisite corporate power to own, lease and operate its properties and assets and to conduct its business as it is now being conducted. Each of the Company, its Subsidiaries and the PRC Operating Entities is duly qualified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(as defined in Section 2.1(g) hereof) on the Company’s consolidated financial condition.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Corporate Power; Authority and Enforcement</w:t>
      </w:r>
      <w:r>
        <w:rPr>
          <w:sz w:val="20"/>
        </w:rPr>
        <w:t xml:space="preserve">. The Company has the requisite corporate power and authority to enter into and perform this Agreement and the Lock-Up Agreement, attached hereto as </w:t>
      </w:r>
      <w:r>
        <w:rPr>
          <w:sz w:val="20"/>
          <w:u w:val="single"/>
        </w:rPr>
        <w:t xml:space="preserve">Exhibit A </w:t>
      </w:r>
      <w:r>
        <w:rPr>
          <w:sz w:val="20"/>
        </w:rPr>
        <w:t>(collectively, the “</w:t>
      </w:r>
      <w:r>
        <w:rPr>
          <w:sz w:val="20"/>
          <w:u w:val="single"/>
        </w:rPr>
        <w:t>Transaction Documents</w:t>
      </w:r>
      <w:r>
        <w:rPr>
          <w:sz w:val="20"/>
        </w:rPr>
        <w:t>”),and to issue and sell the Shares in accordance with the terms hereof. The execution, delivery and performance of the Transaction Documents by the Company and the consummation by it of the transactions contemplated hereby and thereby have been duly and validly authorized by all necessary corporate action, and no further consent or authorization of the Company or its Board of Directors or stockholders is required. Each of the Transaction Documents constitutes, or shall constitute when executed and delivered,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(c) </w:t>
      </w:r>
      <w:r>
        <w:rPr>
          <w:sz w:val="20"/>
          <w:u w:val="single"/>
        </w:rPr>
        <w:t>Capitalization</w:t>
      </w:r>
      <w:r>
        <w:rPr>
          <w:sz w:val="20"/>
        </w:rPr>
        <w:t>. The authorized capital stock of the Company and the shares thereof currently issued and outstanding as of the date hereof is set forth in the Company’s filings made with the Securities and Exchange Commission (the “</w:t>
      </w:r>
      <w:r>
        <w:rPr>
          <w:sz w:val="20"/>
          <w:u w:val="single"/>
        </w:rPr>
        <w:t>Commission</w:t>
      </w:r>
      <w:r>
        <w:rPr>
          <w:sz w:val="20"/>
        </w:rPr>
        <w:t>”). All of the issued and outstanding shares of common stock of the Company have been duly and validly authorized. The offer and sale of all capital stock, convertible securities, rights, warrants, or options of the Company issued prior to the Closing complied with all applicable Federal and state securities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Issuance of Shares</w:t>
      </w:r>
      <w:r>
        <w:rPr>
          <w:sz w:val="20"/>
        </w:rPr>
        <w:t>. The Shares to be issued at the Closing have been duly authorized by all necessary corporate action and the Shares, when paid for or issued in accordance with the terms hereof, will be validly issued and outstanding, fully paid and nonassessable and, immediately after the Closing, the Purchaser will be the record and beneficial owners of all of such securities and have good and valid title to all of such securities, free and clear of all encumbrances.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Subsidiaries</w:t>
      </w:r>
      <w:r>
        <w:rPr>
          <w:sz w:val="20"/>
        </w:rPr>
        <w:t>.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Except as filed as exhibits with the Commission, neither the Company nor any Subsidiary is party to, nor has any knowledge of, any agreement restricting the voting or transfer of any shares of the capital stock of any Subsidiary. For the purposes of this Agreement, “</w:t>
      </w:r>
      <w:r>
        <w:rPr>
          <w:sz w:val="20"/>
          <w:u w:val="single"/>
        </w:rPr>
        <w:t>Subsidiary</w:t>
      </w:r>
      <w:r>
        <w:rPr>
          <w:sz w:val="20"/>
        </w:rPr>
        <w:t>”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has been duly authorized and validly issued, and are fully paid and nonassessable.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Commission Documents, Financial Statements</w:t>
      </w:r>
      <w:r>
        <w:rPr>
          <w:sz w:val="20"/>
        </w:rPr>
        <w:t>. The Company has filed all reports, schedules, forms, statements and other documents required to be filed by it with the Commission pursuant to the reporting requirements of the Securities Exchange Act of 1934, as amended (the “</w:t>
      </w:r>
      <w:r>
        <w:rPr>
          <w:sz w:val="20"/>
          <w:u w:val="single"/>
        </w:rPr>
        <w:t>Exchange Act</w:t>
      </w:r>
      <w:r>
        <w:rPr>
          <w:sz w:val="20"/>
        </w:rPr>
        <w:t>”), including material filed pursuant to Section 13(a) or 15(d) of the Exchange Act (all of the foregoing including filings incorporated by reference therein being referred to herein as the “</w:t>
      </w:r>
      <w:r>
        <w:rPr>
          <w:sz w:val="20"/>
          <w:u w:val="single"/>
        </w:rPr>
        <w:t>Commission Documents</w:t>
      </w:r>
      <w:r>
        <w:rPr>
          <w:sz w:val="20"/>
        </w:rPr>
        <w:t>”). The Company has not provided to the Purchaser any material non-public information or other information which, according to applicable law, rule or regulation, was required to have been disclosed publicly by the Company but which has not been so disclosed, other than (i) with respect to the transactions contemplated by this Agreement, or (ii) pursuant to a non-disclosure or confidentiality agreement signed by the Purchaser. At the time of the respective filings, the Form 10-K’s and the Form 10-Q’s complied in all material respects with the requirements of the Exchange Act and the rules and regulations of the Commission promulgated thereunder and other federal, state and local laws, rules and regulations applicable to such documents. As of their respective filing dates, none of the Form 10-K’s or Form 10-Q’s contained any untrue statement of a material fact; and none omitted to state a material fact required to be stated therein or necessary in order to make the statements therein, in light of the circumstances under which they were made, not misleading. The financial statements of the Company included in the Commission Documents (the “</w:t>
      </w:r>
      <w:r>
        <w:rPr>
          <w:sz w:val="20"/>
          <w:u w:val="single"/>
        </w:rPr>
        <w:t>Financial Statements</w:t>
      </w:r>
      <w:r>
        <w:rPr>
          <w:sz w:val="20"/>
        </w:rPr>
        <w:t>”) comply as to form in all material respects with applicable accounting requirements and the published rules and regulations of the Commission or other applicable rules and regulations with respect thereto. The Financial Statements have been prepared in accordance with United States generally accepted accounting principles (“</w:t>
      </w:r>
      <w:r>
        <w:rPr>
          <w:sz w:val="20"/>
          <w:u w:val="single"/>
        </w:rPr>
        <w:t>GAAP</w:t>
      </w:r>
      <w:r>
        <w:rPr>
          <w:sz w:val="20"/>
        </w:rPr>
        <w:t>”) applied on a consistent basis during the periods involved (except (i) as may be otherwise indicated in the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Material Adverse Effect</w:t>
      </w:r>
      <w:r>
        <w:rPr>
          <w:sz w:val="20"/>
        </w:rPr>
        <w:t>. Since July 30, 2026, neither the Company, the Subsidiaries, nor the PRC Operating Entities has experienced or suffered any Material Adverse Effect. For the purposes of this Agreement, “</w:t>
      </w:r>
      <w:r>
        <w:rPr>
          <w:sz w:val="20"/>
          <w:u w:val="single"/>
        </w:rPr>
        <w:t>Material Adverse Effect</w:t>
      </w:r>
      <w:r>
        <w:rPr>
          <w:sz w:val="20"/>
        </w:rPr>
        <w:t>” means any material adverse effect on the business, operations, properties, or financial condition of the Company, its Subsidiaries, the PRC Operating Entities, individually, or in the aggregate and/or any condition, circumstance, or situation that would prohibit or otherwise materially interfere with the ability of the Company to perform any of its obligations under this Agreement in any material respect.</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(h) </w:t>
      </w:r>
      <w:r>
        <w:rPr>
          <w:sz w:val="20"/>
          <w:u w:val="single"/>
        </w:rPr>
        <w:t>No Undisclosed Liabilities</w:t>
      </w:r>
      <w:r>
        <w:rPr>
          <w:sz w:val="20"/>
        </w:rPr>
        <w:t>. Other than as set forth in the Commission Documents, to the knowledge of the Company, neither the Company, the Subsidiaries, nor the PRC Operating Entities has any liabilities, obligations, claims or losses (whether liquidated or unliquidated, secured or unsecured, absolute, accrued, contingent or otherwise) other than those incurred in the ordinary course of the Company’s, the Subsidiaries’ and the PRC Operating Entities’ respective businesses since July 30, 2026 and which, individually or in the aggregate, do not or would not have a Material Adverse Effect on the Company, the Subsidiaries or the PRC Operating Entities.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No Undisclosed Events or Circumstances</w:t>
      </w:r>
      <w:r>
        <w:rPr>
          <w:sz w:val="20"/>
        </w:rPr>
        <w:t>. To the Company’s knowledge, no event or circumstance has occurred or exists with respect to the Company, the Subsidiaries or the PRC Operating Entities or their respective businesses, properties, operations or financial condition, which, under applicable law, rule or regulation, requires public disclosure or announcement by the Company but which has not been so publicly announced or disclosed.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Indebtedness</w:t>
      </w:r>
      <w:r>
        <w:rPr>
          <w:sz w:val="20"/>
        </w:rPr>
        <w:t>. The Financial Statements set forth all outstanding secured and unsecured Indebtedness of the Company on a consolidated basis, or for which the Company, the Subsidiaries or the PRC Operating Entities have commitments as of the date of Financial Statements or any subsequent period that would require disclosure. For the purposes of this Agreement, “</w:t>
      </w:r>
      <w:r>
        <w:rPr>
          <w:sz w:val="20"/>
          <w:u w:val="single"/>
        </w:rPr>
        <w:t>Indebtedness</w:t>
      </w:r>
      <w:r>
        <w:rPr>
          <w:sz w:val="20"/>
        </w:rPr>
        <w:t>” shall mean (a) any liabilities for borrowed money or amounts owed in excess of $50,000 (other than trade accounts payable incurred in the ordinary course of business), (b) all guaranties, endorsements and other contingent obligations in respect of Indebtedness of others, whether or not the same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$25,000 due under leases required to be capitalized in accordance with GAAP. Neither the Company, the Subsidiaries nor the PRC Operating Entities is in default with respect to any Indebtedness.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(k) </w:t>
      </w:r>
      <w:r>
        <w:rPr>
          <w:sz w:val="20"/>
          <w:u w:val="single"/>
        </w:rPr>
        <w:t>Title to Assets</w:t>
      </w:r>
      <w:r>
        <w:rPr>
          <w:sz w:val="20"/>
        </w:rPr>
        <w:t>. Each of the Company, the Subsidiaries and the PRC Operating Entities has good and marketable title to (i) all properties and assets purportedly owned or used by them as reflected in the Financial Statements, (ii) all properties and assets necessary for the conduct of their business as currently conducted, and (iii) all of the real and personal property reflected in the Financial Statements free and clear of any Lien. All leases are valid and subsisting and in full force and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(l) </w:t>
      </w:r>
      <w:r>
        <w:rPr>
          <w:sz w:val="20"/>
          <w:u w:val="single"/>
        </w:rPr>
        <w:t>Actions Pending</w:t>
      </w:r>
      <w:r>
        <w:rPr>
          <w:sz w:val="20"/>
        </w:rPr>
        <w:t>. There is no action, suit, claim, investigation, arbitration, alternate dispute resolution proceeding or any other proceeding pending or, to the knowledge of the Company, threatened against or involving the Company, any Subsidiary or any PRC Operating Entity which questions the validity of this Agreement or any of the other Transaction Documents or the transactions contemplated hereby or any action taken or to be taken pursuant hereto or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(m) </w:t>
      </w:r>
      <w:r>
        <w:rPr>
          <w:sz w:val="20"/>
          <w:u w:val="single"/>
        </w:rPr>
        <w:t>Compliance with Law</w:t>
      </w:r>
      <w:r>
        <w:rPr>
          <w:sz w:val="20"/>
        </w:rPr>
        <w:t>. The Company, the Subsidiaries and the PRC Operating Entities have all material franchises, permits, licenses, consents and other governmental or regulatory authorizations and approvals necessary for the conduct of their respective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(n) </w:t>
      </w:r>
      <w:r>
        <w:rPr>
          <w:sz w:val="20"/>
          <w:u w:val="single"/>
        </w:rPr>
        <w:t>No Violation.</w:t>
      </w:r>
      <w:r>
        <w:rPr>
          <w:sz w:val="20"/>
        </w:rPr>
        <w:t xml:space="preserve"> The business of the Company, the Subsidiaries and the PRC Operating Entities is not being conducted in violation of any Federal, state, local or foreign governmental laws, or rules, regulations and ordinances of any of any governmental entity, except for possible violations which singularly or in the aggregate could not reasonably be expected to have a Material Adverse Effect. The Company is not required under Federal, state, local or foreign law, rule or regulation to obtain any consent, authorization or order of, or make any filing or registration with, any court or governmental agency in order for it to execute, deliver or perform any of its obligations under the Transaction Documents, or issue and sell the Shares, in accordance with the terms hereof (other than (x) any consent, authorization or order that has been obtained as of the date hereof, (y) any filing or registration that has been made as of the date hereof or (z) any filings which may be required to be made by the Company with the Commission or state securities administrators subsequent to the Closing).</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(o) </w:t>
      </w:r>
      <w:r>
        <w:rPr>
          <w:sz w:val="20"/>
          <w:u w:val="single"/>
        </w:rPr>
        <w:t>No Conflicts</w:t>
      </w:r>
      <w:r>
        <w:rPr>
          <w:sz w:val="20"/>
        </w:rPr>
        <w:t>. The execution, delivery and performance of the Transaction Documents by the Company and the consummation by the Company of the transactions contemplated herein do not and will not (i) violate any provision of the Company’s Articles of Incorporation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or by which it or its properties or assets are bound, (iii) create or impose a lien, mortgage, security interest, pledge, charge or encumbrance (collectively, “</w:t>
      </w:r>
      <w:r>
        <w:rPr>
          <w:sz w:val="20"/>
          <w:u w:val="single"/>
        </w:rPr>
        <w:t>Lien</w:t>
      </w:r>
      <w:r>
        <w:rPr>
          <w:sz w:val="20"/>
        </w:rPr>
        <w:t xml:space="preserve">”) of any nature on any property of the Company under any agreement or any commitment to which the Company is a party or by which the Company is bound or by which any of its respective properties or assets are bound, or (iv) result in a violation of any federal, state, local or foreign statute, rule, regulation, order, judgment or decree (including Federal and state securities laws and regulations) applicable to the Company or any of its subsidiaries or by which any property or asset of the Company or any of its subsidiaries are bound or affected, </w:t>
      </w:r>
      <w:r>
        <w:rPr>
          <w:sz w:val="20"/>
          <w:u w:val="single"/>
        </w:rPr>
        <w:t>provided</w:t>
      </w:r>
      <w:r>
        <w:rPr>
          <w:sz w:val="20"/>
        </w:rPr>
        <w:t xml:space="preserve">, </w:t>
      </w:r>
      <w:r>
        <w:rPr>
          <w:sz w:val="20"/>
          <w:u w:val="single"/>
        </w:rPr>
        <w:t>however</w:t>
      </w:r>
      <w:r>
        <w:rPr>
          <w:sz w:val="20"/>
        </w:rPr>
        <w:t>, that, excluded from the foregoing in all cases are such conflicts, defaults, terminations, amendments, accelerations, cancellations and violations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(p) </w:t>
      </w:r>
      <w:r>
        <w:rPr>
          <w:sz w:val="20"/>
          <w:u w:val="single"/>
        </w:rPr>
        <w:t>Taxes</w:t>
      </w:r>
      <w:r>
        <w:rPr>
          <w:sz w:val="20"/>
        </w:rPr>
        <w:t>. Each of the Company, the Subsidiaries and the PRC Operating Entities, to the extent its applicable, has accurately prepared and filed all federal, state and other tax returns required by law to be filed by it, has paid or made provisions for the payment of all taxes shown to be due and all additional assessments, and adequate provisions have been and are reflected in the consolidated financial statements of the Company for all current taxes and other charges to which the Company, the Subsidiaries or the PRC Operating Entities, if any, is subject and which are not currently due and payable. None of the federal income tax returns of the Company have been audited by the Internal Revenue Service. The Company has no knowledge of any additional assessments, adjustments or contingent tax liability (whether federal, state or foreign) of any nature whatsoever, whether pending or threatened against the Company or any subsidiary for any period, nor of any basis for any such assessment, adjustment or contingency.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(q) </w:t>
      </w:r>
      <w:r>
        <w:rPr>
          <w:sz w:val="20"/>
          <w:u w:val="single"/>
        </w:rPr>
        <w:t>Certain Fees</w:t>
      </w:r>
      <w:r>
        <w:rPr>
          <w:sz w:val="20"/>
        </w:rPr>
        <w:t>. No brokers fees, finder’s fees or financial advisory fees or commissions will be payable by the Company with respect to the transactions contemplated by this Agreement and the other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(r) </w:t>
      </w:r>
      <w:r>
        <w:rPr>
          <w:sz w:val="20"/>
          <w:u w:val="single"/>
        </w:rPr>
        <w:t>Disclosure</w:t>
      </w:r>
      <w:r>
        <w:rPr>
          <w:sz w:val="20"/>
        </w:rPr>
        <w:t>. Neither this Agreement nor any other documents, certificates or instruments furnished to the Purchaser by or on behalf of the Company, the Subsidiaries or the PRC Operating Entities in connection with the transactions contemplated by this Agreement contain any untrue statement of a material fact or omit to state a material fact necessary in order to make the statements made herein or therein, taken as a whole and in the light of the circumstances under which they were made herein or therein, not false or misleading.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(s) </w:t>
      </w:r>
      <w:r>
        <w:rPr>
          <w:sz w:val="20"/>
          <w:u w:val="single"/>
        </w:rPr>
        <w:t>Intellectual Property</w:t>
      </w:r>
      <w:r>
        <w:rPr>
          <w:sz w:val="20"/>
        </w:rPr>
        <w:t>. Each of the Company, the Subsidiaries and the PRC Operating Entities, owns or has the lawful right to use all patents, trademarks, domain names (whether or not registered) and any patentable improvements or copyrightable derivative works thereof, websites and intellectual property rights relating thereto, service marks, trade names, copyrights, licenses and authorizations, if any, and all rights with respect to the foregoing, if any, which are necessary for the conduct of their respective business as now conducted without any conflict with the rights of others, except where the failure to so own or possess would not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(t) </w:t>
      </w:r>
      <w:r>
        <w:rPr>
          <w:sz w:val="20"/>
          <w:u w:val="single"/>
        </w:rPr>
        <w:t>Books and Record Internal Accounting Controls</w:t>
      </w:r>
      <w:r>
        <w:rPr>
          <w:sz w:val="20"/>
        </w:rPr>
        <w:t>. Except as may have otherwise been disclosed in the Commission Documents, the books and records of the Company, the Subsidiaries and the PRC Operating Entities accurately reflect in all material respects the information relating to the business of the Company, the Subsidiaries and the PRC Operating Entities, the location and collection of their assets, and the nature of all transactions giving rise to the obligations or accounts receivable of the Company, the Subsidiaries or the PRC Operating Entities. Except as disclosed in the Commission Documents, the Company, the Subsidiaries and the PRC Operating Entities maintain a system of internal accounting controls sufficient, in the judgment of the Company,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(u) </w:t>
      </w:r>
      <w:r>
        <w:rPr>
          <w:sz w:val="20"/>
          <w:u w:val="single"/>
        </w:rPr>
        <w:t>Material Agreements</w:t>
      </w:r>
      <w:r>
        <w:rPr>
          <w:sz w:val="20"/>
        </w:rPr>
        <w:t>. Any and all written or oral contracts, instruments, agreements, commitments, obligations, plans or arrangements, the Company, the Subsidiaries and the PRC Operating Entities is a party to, that a copy of which would be required to be filed with the Commission as an exhibit to a registration statement on Form S-1 (collectively, the “</w:t>
      </w:r>
      <w:r>
        <w:rPr>
          <w:sz w:val="20"/>
          <w:u w:val="single"/>
        </w:rPr>
        <w:t>Material Agreements</w:t>
      </w:r>
      <w:r>
        <w:rPr>
          <w:sz w:val="20"/>
        </w:rPr>
        <w:t>”) if the Company or any subsidiary were registering securities under the Securities Act has previously been publicly filed with the Commission in the Commission Documents. Each of the Company, the Subsidiaries and the PRC Operating Entities has in all material respects performed all the obligations required to be performed by them to date under the foregoing agreements, have received no notice of default and are not in default under any Material Agreement now in effect the result of which would cause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(v) </w:t>
      </w:r>
      <w:r>
        <w:rPr>
          <w:sz w:val="20"/>
          <w:u w:val="single"/>
        </w:rPr>
        <w:t>Transactions with Affiliates</w:t>
      </w:r>
      <w:r>
        <w:rPr>
          <w:sz w:val="20"/>
        </w:rPr>
        <w:t>. Except as set forth in the Financial Statements or in the Commission Documents, there are no loans, leases, agreements, contracts, royalty agreements, management contracts or arrangements or other continuing transactions between (a) the Company or any Subsidiary on the one hand, and (b) on the other hand, any officer, employee, consultant or director of the Company, or any of Subsidiaries, or any person owning any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(w) </w:t>
      </w:r>
      <w:r>
        <w:rPr>
          <w:sz w:val="20"/>
          <w:u w:val="single"/>
        </w:rPr>
        <w:t>Securities Act of 1933</w:t>
      </w:r>
      <w:r>
        <w:rPr>
          <w:sz w:val="20"/>
        </w:rPr>
        <w:t>. Assuming the accuracy of the representations of the Purchaser set forth in Section 2.2 hereof,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any of the Shares, or solicit offers with respect thereto from, or enter into any preliminary conversations or negotiations relating thereto with, any person, or has taken or will take any action so as to bring the issuance and sale of any of the Shares in violation of the registration provisions of the Securities Act and applicable state securities laws, and neither the Company nor any of its affiliates, nor any person acting on its or their behalf, has engaged in any form of general solicitation or general advertising (within the meaning of Regulation D under the Securities Act) in connection with the offer or sale of any of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(x) </w:t>
      </w:r>
      <w:r>
        <w:rPr>
          <w:sz w:val="20"/>
          <w:u w:val="single"/>
        </w:rPr>
        <w:t>Governmental Approvals</w:t>
      </w:r>
      <w:r>
        <w:rPr>
          <w:sz w:val="20"/>
        </w:rPr>
        <w:t>. Except for the filing of any notice prior or subsequent to the Closing Date that may be required under applicable state and/or Federal securities laws (which if required, shall be filed on a timely basis), no authorization, consent, approval, license, exemption of, filing or registration with any court or governmental department, commission, board, bureau, agency or instrumentality, domestic or foreign, is or will be necessary for, or in connection with, the execution or delivery of the Shares, or for the performance by the Company of its obligations under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(y) </w:t>
      </w:r>
      <w:r>
        <w:rPr>
          <w:sz w:val="20"/>
          <w:u w:val="single"/>
        </w:rPr>
        <w:t>Employees</w:t>
      </w:r>
      <w:r>
        <w:rPr>
          <w:sz w:val="20"/>
        </w:rPr>
        <w:t>. Except as disclosed in the Commission Documents, neither the Company nor any subsidiary has any collective bargaining arrangements covering any of its employees. Since July 30, 2026, no officer, consultant or key employee of the Company or any subsidiary whose termination, either individually or in the aggregate, would have a Material Adverse Effect, has terminated or, to the knowledge of the Company, has any present intention of terminating his or her employment or engagement with the Company or any subsidiary.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(z) </w:t>
      </w:r>
      <w:r>
        <w:rPr>
          <w:sz w:val="20"/>
          <w:u w:val="single"/>
        </w:rPr>
        <w:t>Public Utility Holding Company Act; Investment Company Act and U.S. Real Property Holding Corporation Status</w:t>
      </w:r>
      <w:r>
        <w:rPr>
          <w:sz w:val="20"/>
        </w:rPr>
        <w:t>. The Company is not a “holding company” or a “public utility company” as such terms are defined in the Public Utility Holding Company Act of 1935, as amended. The Company is not, and as a result of and immediately upon the Closing will not be, an “investment company” or a company “controlled” by an “investment company,” within the meaning of the Investment Company Act of 1940, as amended.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(aa) </w:t>
      </w:r>
      <w:r>
        <w:rPr>
          <w:sz w:val="20"/>
          <w:u w:val="single"/>
        </w:rPr>
        <w:t>ERISA</w:t>
      </w:r>
      <w:r>
        <w:rPr>
          <w:sz w:val="20"/>
        </w:rPr>
        <w:t>. No liability to the Pension Benefit Guaranty Corporation has been incurred with respect to any Plan (as defined below) by the Company or any of its subsidiaries which is or would be materially adverse to the Company and its subsidiaries. The execution and delivery of this Agreement and the other Transaction Documents and the issuance and sale of the Shares will not involve any transaction which is subject to the prohibitions of Section 406 of ERISA or in connection with which a tax could be imposed pursuant to Section 4975 of the Internal Revenue Code of 1986, as amended, provided, that, if the Purchaser, or any person or entity that owns a beneficial interest in the Purchaser, is an “employee pension benefit plan” (within the meaning of Section 3(2) of ERISA) with respect to which the Company is a “party in interest” (within the meaning of Section 3(14) of ERISA), the requirements of Sections 407(d)(5) and 408(e) of ERISA, if applicable, are met. As used in this Section 2.1(bb), the term “</w:t>
      </w:r>
      <w:r>
        <w:rPr>
          <w:sz w:val="20"/>
          <w:u w:val="single"/>
        </w:rPr>
        <w:t>Plan</w:t>
      </w:r>
      <w:r>
        <w:rPr>
          <w:sz w:val="20"/>
        </w:rPr>
        <w:t>” shall mean an “employee pension benefit plan” (as defined in Section 3 of ERISA) which is or has been established or maintained, or to which contributions are or have been made, by the Company or any subsidiary or by any trade or business, whether or not incorporated, which, together with the Company or any subsidiary, is under common control, as described in Section 414(b) or (c) of the Code.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(bb) </w:t>
      </w:r>
      <w:r>
        <w:rPr>
          <w:sz w:val="20"/>
          <w:u w:val="single"/>
        </w:rPr>
        <w:t>Sarbanes-Oxley Act.</w:t>
      </w:r>
      <w:r>
        <w:rPr>
          <w:sz w:val="20"/>
        </w:rPr>
        <w:t xml:space="preserve"> The Company is in compliance with the applicable provisions of the Sarbanes-Oxley Act of 2002 (the “</w:t>
      </w:r>
      <w:r>
        <w:rPr>
          <w:sz w:val="20"/>
          <w:u w:val="single"/>
        </w:rPr>
        <w:t>Sarbanes-Oxley Act</w:t>
      </w:r>
      <w:r>
        <w:rPr>
          <w:sz w:val="20"/>
        </w:rPr>
        <w:t>”), and the rules and regulations promulgated thereunder, that are effective and for which compliance by the Company is required as of the date hereof.</w:t>
      </w:r>
    </w:p>
    <w:p>
      <w:pPr>
        <w:pStyle w:val="TextBody"/>
        <w:bidi w:val="0"/>
        <w:spacing w:before="0" w:after="0"/>
        <w:ind w:left="0" w:right="0" w:firstLine="1440"/>
        <w:jc w:val="both"/>
        <w:rPr/>
      </w:pPr>
      <w:r>
        <w:rPr/>
        <w:t> </w:t>
      </w:r>
    </w:p>
    <w:p>
      <w:pPr>
        <w:pStyle w:val="TextBody"/>
        <w:bidi w:val="0"/>
        <w:spacing w:before="0" w:after="0"/>
        <w:ind w:left="0" w:right="0" w:firstLine="1440"/>
        <w:jc w:val="left"/>
        <w:rPr>
          <w:sz w:val="20"/>
        </w:rPr>
      </w:pPr>
      <w:r>
        <w:rPr>
          <w:sz w:val="20"/>
        </w:rPr>
        <w:t xml:space="preserve">(cc) </w:t>
      </w:r>
      <w:r>
        <w:rPr>
          <w:sz w:val="20"/>
          <w:u w:val="single"/>
        </w:rPr>
        <w:t>Additional PRC Representations and Warranties</w:t>
      </w:r>
      <w:r>
        <w:rPr>
          <w:sz w:val="20"/>
        </w:rPr>
        <w:t>.</w:t>
      </w:r>
    </w:p>
    <w:p>
      <w:pPr>
        <w:pStyle w:val="TextBody"/>
        <w:bidi w:val="0"/>
        <w:spacing w:before="0" w:after="0"/>
        <w:ind w:left="0" w:right="0" w:firstLine="1440"/>
        <w:jc w:val="left"/>
        <w:rPr/>
      </w:pPr>
      <w:r>
        <w:rPr/>
        <w:t> </w:t>
      </w:r>
    </w:p>
    <w:p>
      <w:pPr>
        <w:pStyle w:val="TextBody"/>
        <w:bidi w:val="0"/>
        <w:spacing w:before="0" w:after="0"/>
        <w:ind w:left="0" w:right="0" w:firstLine="2160"/>
        <w:jc w:val="both"/>
        <w:rPr>
          <w:sz w:val="20"/>
        </w:rPr>
      </w:pPr>
      <w:r>
        <w:rPr>
          <w:sz w:val="20"/>
        </w:rPr>
        <w:t>(i) All material consents, approvals, authorizations or licenses requisite under PRC law for the due and proper establishment and operation of the PRC Operating Entities have been duly obtained from the relevant PRC governmental authorities and are in full force and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 All filings and registrations with the PRC governmental authorities required in respect of the PRC Operating Entities and their capital structure and operations including, without limitation, to the extent applicable, tax bureau and customs authorities, have been duly completed in accordance with the relevant PRC rules and regulations, except where the failure to complete such filings and registrations does not, and would not, individually or in the aggregate, have a Material Adverse Effect.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(iii) Neither the Company, the Subsidiaries, nor any PRC Operating Entity or affiliated entity is in receipt of any letter or notice from any relevant PRC governmental or quasi-governmental authority notifying it of the revocation, or otherwise questioning the validity, of any licenses or qualifications issued to it or any subsidy granted to it by any PRC governmental authority, or the need for compliance or remedial actions in respect of the activities carried out by the Company or such subsidiary.</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(iv) The PRC Operating Entities have conducted their respective business activities within their permitted scope of business or have otherwise operated their respective businesses in compliance with all relevant legal requirements and with all requisite licenses and approvals granted by competent PRC governmental authorities other than such non-compliance that do not, and would not, individually or in the aggregate, have a Material Adverse Effect. As to licenses, approvals and government grants and concessions requisite or material for the conduct of any part of the PRC Operating Entities’ business which is subject to periodic renewal, neither the Company, the Subsidiaries, nor any PRC Operating Entity has any knowledge of any grounds on which such requisite renewals will not be granted by the relevant PRC governmental authorities.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(v) The PRC Operating Entities have complied with all applicable PRC laws and regulations in all material respects, including without limitation, laws and regulations pertaining to welfare fund contributions, social benefits, medical benefits, insurance, retirement benefits, pensions or the like.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(dd) </w:t>
      </w:r>
      <w:r>
        <w:rPr>
          <w:sz w:val="20"/>
          <w:u w:val="single"/>
        </w:rPr>
        <w:t>No Additional Agreements</w:t>
      </w:r>
      <w:r>
        <w:rPr>
          <w:sz w:val="20"/>
        </w:rPr>
        <w:t>. Neither the Company nor any of its affiliates has any agreement or understanding with the Purchaser with respect to the transactions contemplated by the Transaction Documents other than as specified in the Transaction Documents.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(ee) </w:t>
      </w:r>
      <w:r>
        <w:rPr>
          <w:sz w:val="20"/>
          <w:u w:val="single"/>
        </w:rPr>
        <w:t>Foreign Corrupt Practices Act</w:t>
      </w:r>
      <w:r>
        <w:rPr>
          <w:sz w:val="20"/>
        </w:rPr>
        <w:t>. Neither the Company, the Subsidiaries, the PRC Operating Entities, nor to the knowledge of the Company, the Subsidiaries, the PRC Operating Entities any agent or other person acting on behalf of the Company, the Subsidiaries or the PRC Operating Entities, has, directly or indirectly, (i) used any funds, or will use any proceeds from the sale of the Shares,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of the Company (or made by any Person acting on their behalf of which the Company is aware) or any members of their respective management which is in violation of any applicable law, or (iv) has violated in any material respect any provision of the Foreign Corrupt Practices Act of 1977, as amended, and the rules and regulations thereunder which was applicable to the Company or any of its subsidiaries.</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(ff) </w:t>
      </w:r>
      <w:r>
        <w:rPr>
          <w:sz w:val="20"/>
          <w:u w:val="single"/>
        </w:rPr>
        <w:t>PFIC</w:t>
      </w:r>
      <w:r>
        <w:rPr>
          <w:sz w:val="20"/>
        </w:rPr>
        <w:t>. None of the Company or any of its Subsidiaries is or intends to become a “passive foreign investment company” within the meaning of Section 1297 of the U.S. Internal Revenue Code of 1986, as amended.</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(gg) </w:t>
      </w:r>
      <w:r>
        <w:rPr>
          <w:sz w:val="20"/>
          <w:u w:val="single"/>
        </w:rPr>
        <w:t>OFAC</w:t>
      </w:r>
      <w:r>
        <w:rPr>
          <w:sz w:val="20"/>
        </w:rPr>
        <w:t>. None of the Company or any of its Subsidiaries nor, to the knowledge of the Company, any director, officer, agent, employee, affiliate or person acting on behalf of any of the Company or any of its Subsidiaries, is currently subject to any U.S. sanctions administered by the Office of Foreign Assets Control of the U.S. Treasury Department (“</w:t>
      </w:r>
      <w:r>
        <w:rPr>
          <w:sz w:val="20"/>
          <w:u w:val="single"/>
        </w:rPr>
        <w:t>OFAC</w:t>
      </w:r>
      <w:r>
        <w:rPr>
          <w:sz w:val="20"/>
        </w:rPr>
        <w:t>”); and the Company will not directly or indirectly use the proceeds of the sale of the Shares, or lend, contribute or otherwise make available such proceeds to any subsidiary of the Company, joint venture partner or other Person or entity, towards any sales or operations in Cuba, Iran, Syria, Sudan, Myanmar or any other country sanctioned by OFAC or for the purpose of financing the activities of any Person currently subject to any U.S. sanctions administered by OFAC.</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(hh) </w:t>
      </w:r>
      <w:r>
        <w:rPr>
          <w:sz w:val="20"/>
          <w:u w:val="single"/>
        </w:rPr>
        <w:t>Money Laundering Laws</w:t>
      </w:r>
      <w:r>
        <w:rPr>
          <w:sz w:val="20"/>
        </w:rPr>
        <w:t>. The operations of each of the Company, the Subsidiaries and the PRC Operating Entities have been conducted at all times in compliance with the money laundering requirements of all applicable governmental authorities and any related or similar rules, regulations or guidelines, issued, administered or enforced by any governmental authority (collectively, the “Money Laundering Laws”) and no action, suit or proceeding by or before any court or governmental authority or any arbitrator involving any of the Company, the Subsidiaries or the PRC Operating Entities with respect to the Money Laundering Laws is pending or, to the best knowledge of the Company, threatened.</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2.2 </w:t>
      </w:r>
      <w:r>
        <w:rPr>
          <w:sz w:val="20"/>
          <w:u w:val="single"/>
        </w:rPr>
        <w:t>Representations and Warranties of the Purchaser</w:t>
      </w:r>
      <w:r>
        <w:rPr>
          <w:sz w:val="20"/>
        </w:rPr>
        <w:t>. The Purchaser hereby makes the following representations and warranties to the Company as of the date hereof:</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Organization and Good Standing of the Purchaser</w:t>
      </w:r>
      <w:r>
        <w:rPr>
          <w:sz w:val="20"/>
        </w:rPr>
        <w:t>. If the Purchaser is an entity, the Purchaser is a corporation, partnership or limited liability company duly incorporated or organized, validly existing and in good standing under the laws of the jurisdiction of its incorporation or organization.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Authorization and Power</w:t>
      </w:r>
      <w:r>
        <w:rPr>
          <w:sz w:val="20"/>
        </w:rPr>
        <w:t>. The Purchaser has the requisite power and authority to enter into and perform this Agreement and each of the other Transaction Documents to which the Purchaser is a party and to purchase the Shares being sold to it hereunder. The execution, delivery and performance of this Agreement and each of the other Transaction Documents to which the Purchaser is a party and the consummation by it of the transactions contemplated hereby have been duly authorized by all necessary corporate, partnership or limited liability company action, and no further consent or authorization of the Purchaser or its Board of Directors, stockholders, partners, members, or managers, as the case may be, is required. This Agreement and each of the other Transaction Documents to which the Purchaser is a party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Conflicts</w:t>
      </w:r>
      <w:r>
        <w:rPr>
          <w:sz w:val="20"/>
        </w:rPr>
        <w:t>. The execution, delivery and performance of this Agreement and each of the other Transaction Documents to which the Purchaser is a party and the consummation by the Purchaser of the transactions contemplated hereby and thereby or related hereto do not and will not (i) result in a violation of the Purchaser’s charter documents, bylaws, operating agreement, partnership agreement or other organizational documents or (ii) conflict with, or constitute a default (or an event which with notice or lapse of time or both would become a default) under, or give to others any rights of termination, amendment, acceleration or cancellation of any agreement, indenture or instrument or obligation to which the Purchaser is a party or by which its properties or assets are bound,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such Purchaser). The Purchaser is not required to obtain any consent, authorization or order of, or make any filing or registration with, any court or governmental agency in order for it to execute, deliver or perform any of its obligations under this Agreement or any other Transaction Document to which the Purchaser is a party or to purchase the Shares in accordance with the terms hereof, provided, that for purposes of the representation made in this sentence, the Purchaser is assuming and relying upon the accuracy of the relevant representations and agreements of the Company herein.</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(d) </w:t>
      </w:r>
      <w:r>
        <w:rPr>
          <w:sz w:val="20"/>
          <w:u w:val="single"/>
        </w:rPr>
        <w:t>Regulation S</w:t>
      </w:r>
      <w:r>
        <w:rPr>
          <w:sz w:val="20"/>
        </w:rPr>
        <w:t>. The Purchaser is a “non-US person” as defined in Regulation S and shall purchase the Shares in compliance with Regulation 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Acquisition for Investment</w:t>
      </w:r>
      <w:r>
        <w:rPr>
          <w:sz w:val="20"/>
        </w:rPr>
        <w:t>. The Purchaser is acquiring the Shares solely for its own account for the purpose of investment and not with a view to or for sale in connection with a distribution. The Purchaser does not have a present intention to sell the Shares, nor a present arrangement (whether or not legally binding) or intention to effect any distribution of the Shares to or through any person or entity. The Purchaser acknowledges that it is able to bear the financial risks associated with an investment in the Shares and that it has been given full access to such records of the Company, the Subsidiaries and the PRC Operating Entities and to the officers of the Company, the Subsidiaries and the PRC Operating Entities and received such information as it has deemed necessary or appropriate to conduct its due diligence investigation and has sufficient knowledge and experience in investing in companies similar to the Company in terms of the Company’s stage of development so as to be able to evaluate the risks and merits of its investment in the Company. The Purchaser further acknowledges that it understands the risks of investing in companies domiciled and/or which operate primarily in the PRC and that the purchase of the Shares involves substantial risks.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Opportunities for Additional Information</w:t>
      </w:r>
      <w:r>
        <w:rPr>
          <w:sz w:val="20"/>
        </w:rPr>
        <w:t>. The Purchaser acknowledges that it has had the opportunity to ask questions of and receive answers from, or obtain additional information from, the executive officers of the Company concerning the financial and other affairs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No General Solicitation</w:t>
      </w:r>
      <w:r>
        <w:rPr>
          <w:sz w:val="20"/>
        </w:rPr>
        <w:t>. The Purchaser acknowledges that the Shares were not offered to the Purchaser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or radio, or (ii) any seminar or meeting to which the Purchaser was invited by any of the foregoing means of communications.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Rule 144</w:t>
      </w:r>
      <w:r>
        <w:rPr>
          <w:sz w:val="20"/>
        </w:rPr>
        <w:t>. The Purchaser understands that the Shares must be held indefinitely unless such Shares are registered under the Securities Act or an exemption from registration is available. The Purchaser acknowledges that the Purchaser is familiar with Rule 144, of the rules and regulations of the Commission, as amended, promulgated pursuant to the Securities Act (“</w:t>
      </w:r>
      <w:r>
        <w:rPr>
          <w:sz w:val="20"/>
          <w:u w:val="single"/>
        </w:rPr>
        <w:t>Rule 144</w:t>
      </w:r>
      <w:r>
        <w:rPr>
          <w:sz w:val="20"/>
        </w:rPr>
        <w:t>”), and that such person has been advised that Rule 144 permits resales only under certain circumstances. The Purchaser understands that to the extent that Rule 144 is not available, the Purchaser will be unable to sell any Shares without either registration under the Securities Act or the existence of another exemption from such registration requirement.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(i) </w:t>
      </w:r>
      <w:r>
        <w:rPr>
          <w:sz w:val="20"/>
          <w:u w:val="single"/>
        </w:rPr>
        <w:t>General</w:t>
      </w:r>
      <w:r>
        <w:rPr>
          <w:sz w:val="20"/>
        </w:rPr>
        <w:t>. The Purchaser understands that the Shares are being offered and sold in reliance on a transactional exemption from the registration requirements of Federal and state securities laws and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(j) </w:t>
      </w:r>
      <w:r>
        <w:rPr>
          <w:sz w:val="20"/>
          <w:u w:val="single"/>
        </w:rPr>
        <w:t>Brokers</w:t>
      </w:r>
      <w:r>
        <w:rPr>
          <w:sz w:val="20"/>
        </w:rPr>
        <w:t>. No Purchaser has any knowledge of any brokerage or finder’s fees or commissions that are or will be payable by the Company to any broker, financial advisor or consultant, finder, placement agent, investment banker, bank or other person or entity with respect to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III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The Company covenants with the Purchaser as follows:</w:t>
      </w:r>
    </w:p>
    <w:p>
      <w:pPr>
        <w:pStyle w:val="TextBody"/>
        <w:bidi w:val="0"/>
        <w:spacing w:before="0" w:after="0"/>
        <w:ind w:left="0" w:right="0" w:firstLine="720"/>
        <w:jc w:val="left"/>
        <w:rPr/>
      </w:pPr>
      <w:r>
        <w:rPr/>
        <w:t> </w:t>
      </w:r>
    </w:p>
    <w:p>
      <w:pPr>
        <w:pStyle w:val="TextBody"/>
        <w:bidi w:val="0"/>
        <w:spacing w:before="0" w:after="0"/>
        <w:ind w:left="0" w:right="0" w:firstLine="720"/>
        <w:jc w:val="both"/>
        <w:rPr>
          <w:sz w:val="20"/>
        </w:rPr>
      </w:pPr>
      <w:r>
        <w:rPr>
          <w:sz w:val="20"/>
        </w:rPr>
        <w:t xml:space="preserve">Section 3.1 </w:t>
      </w:r>
      <w:r>
        <w:rPr>
          <w:sz w:val="20"/>
          <w:u w:val="single"/>
        </w:rPr>
        <w:t>Securities Compliance</w:t>
      </w:r>
      <w:r>
        <w:rPr>
          <w:sz w:val="20"/>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Shares.</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Section 3.2</w:t>
      </w:r>
      <w:r>
        <w:rPr>
          <w:sz w:val="20"/>
          <w:u w:val="single"/>
        </w:rPr>
        <w:t xml:space="preserve"> Compliance with Laws</w:t>
      </w:r>
      <w:r>
        <w:rPr>
          <w:sz w:val="20"/>
        </w:rPr>
        <w:t>. The Company shall comply, and cause each Subsidiary to comply in all material respects, with all applicable laws, rules, regulations and orders.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3.3 </w:t>
      </w:r>
      <w:r>
        <w:rPr>
          <w:sz w:val="20"/>
          <w:u w:val="single"/>
        </w:rPr>
        <w:t>Reporting Requirements</w:t>
      </w:r>
      <w:r>
        <w:rPr>
          <w:sz w:val="20"/>
        </w:rPr>
        <w:t>. The Company shall comply in all respects with its reporting and filing obligations under the Exchange Act.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3.4 </w:t>
      </w:r>
      <w:r>
        <w:rPr>
          <w:sz w:val="20"/>
          <w:u w:val="single"/>
        </w:rPr>
        <w:t>Other Agreements</w:t>
      </w:r>
      <w:r>
        <w:rPr>
          <w:sz w:val="20"/>
        </w:rPr>
        <w:t>. The Company shall not enter into any agreement the terms of which would restrict or impair the ability of the Company to perform its obligations under any Transaction Document.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3.5 </w:t>
      </w:r>
      <w:r>
        <w:rPr>
          <w:sz w:val="20"/>
          <w:u w:val="single"/>
        </w:rPr>
        <w:t>Disclosure of Transaction</w:t>
      </w:r>
      <w:r>
        <w:rPr>
          <w:sz w:val="20"/>
        </w:rPr>
        <w:t>. The Company shall file with the Commission, the Form 8-K describing the material terms of the transactions contemplated hereby within four (4) Business Days following the Closing Date.</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CONDITIONS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4.1 </w:t>
      </w:r>
      <w:r>
        <w:rPr>
          <w:sz w:val="20"/>
          <w:u w:val="single"/>
        </w:rPr>
        <w:t>Conditions Precedent to the Obligation of the Company to Sell the Shares</w:t>
      </w:r>
      <w:r>
        <w:rPr>
          <w:sz w:val="20"/>
        </w:rPr>
        <w:t>. The obligation hereunder of the Company to issue and sell the Shares to the Purchaser is subject to the satisfaction or waiver, at or before the Closing, of each of the conditions set forth below. These conditions are for the Company’s sole benefit and may be waived by the Company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Purchaser’s Representations and Warranties</w:t>
      </w:r>
      <w:r>
        <w:rPr>
          <w:sz w:val="20"/>
        </w:rPr>
        <w:t>. The representations and warranties of the Purchaser in this Agreement and each of the other Transaction Documents to which the Purchaser is a party shall be true and correct in all material respects as of the date when made and as of the Closing Date as though made at that time, except for representations and warranties that are expressly made as of a particular date, which shall be true and correct in all material respects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Purchaser</w:t>
      </w:r>
      <w:r>
        <w:rPr>
          <w:sz w:val="20"/>
        </w:rPr>
        <w:t>. The Purchaser shall have performed, satisfied and complied in all respects with all covenants, agreements and conditions required by this Agreement to be performed, satisfied or complied with by such Purchaser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Delivery of Purchase Price</w:t>
      </w:r>
      <w:r>
        <w:rPr>
          <w:sz w:val="20"/>
        </w:rPr>
        <w:t>. The Purchase Price for the Shares shall have been delivered to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Delivery of Transaction Documents</w:t>
      </w:r>
      <w:r>
        <w:rPr>
          <w:sz w:val="20"/>
        </w:rPr>
        <w:t>. The Transaction Documents to which the Purchaser isa party shall have been duly executed and delivered by the Purchaser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4.2 </w:t>
      </w:r>
      <w:r>
        <w:rPr>
          <w:sz w:val="20"/>
          <w:u w:val="single"/>
        </w:rPr>
        <w:t>Conditions Precedent to the Obligation of the Purchaser to Purchase the Shares</w:t>
      </w:r>
      <w:r>
        <w:rPr>
          <w:sz w:val="20"/>
        </w:rPr>
        <w:t>. The obligation hereunder of the Purchaser to purchase the Shares is subject to the satisfaction or waiver, at or before the Closing, of each of the conditions set forth below. These conditions are for the Purchaser’s sole benefit and may be waived by the Purchaser at any time in its sole discretion.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(a) </w:t>
      </w:r>
      <w:r>
        <w:rPr>
          <w:sz w:val="20"/>
          <w:u w:val="single"/>
        </w:rPr>
        <w:t>Accuracy of the Company’s Representations and Warranties</w:t>
      </w:r>
      <w:r>
        <w:rPr>
          <w:sz w:val="20"/>
        </w:rPr>
        <w:t>. Each of the representations and warranties of the Company in this Agreement and the other Transaction Documents shall be true and correct in all respects as of the date when made and as of the Closing Date as though made at that time, except for representations and warranties that are expressly made as of a particular date, which shall be true and correct in all respects as of such date.</w:t>
      </w:r>
    </w:p>
    <w:p>
      <w:pPr>
        <w:pStyle w:val="TextBody"/>
        <w:bidi w:val="0"/>
        <w:spacing w:before="0" w:after="0"/>
        <w:ind w:left="0" w:right="0" w:firstLine="144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sz w:val="20"/>
        </w:rPr>
        <w:t xml:space="preserve">(b) </w:t>
      </w:r>
      <w:r>
        <w:rPr>
          <w:sz w:val="20"/>
          <w:u w:val="single"/>
        </w:rPr>
        <w:t>Performance by the Company</w:t>
      </w:r>
      <w:r>
        <w:rPr>
          <w:sz w:val="20"/>
        </w:rPr>
        <w:t>. The Company shall have performed, satisfied and complied in all respects with all covenants, agreements and conditions required by this Agreement to be performed, satisfied or complied with by the Company at or prior to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sz w:val="20"/>
          <w:u w:val="single"/>
        </w:rPr>
        <w:t>No Injunction</w:t>
      </w:r>
      <w:r>
        <w:rPr>
          <w:sz w:val="20"/>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(d) </w:t>
      </w:r>
      <w:r>
        <w:rPr>
          <w:sz w:val="20"/>
          <w:u w:val="single"/>
        </w:rPr>
        <w:t>No Proceedings or Litigation</w:t>
      </w:r>
      <w:r>
        <w:rPr>
          <w:sz w:val="20"/>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sz w:val="20"/>
          <w:u w:val="single"/>
        </w:rPr>
        <w:t>Stock Certificate</w:t>
      </w:r>
      <w:r>
        <w:rPr>
          <w:sz w:val="20"/>
        </w:rPr>
        <w:t>. The Company shall have executed and delivered to the Purchaser a stock certificate for the Shares.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(f) </w:t>
      </w:r>
      <w:r>
        <w:rPr>
          <w:sz w:val="20"/>
          <w:u w:val="single"/>
        </w:rPr>
        <w:t>Resolutions</w:t>
      </w:r>
      <w:r>
        <w:rPr>
          <w:sz w:val="20"/>
        </w:rPr>
        <w:t>. The Board of Directors of the Company shall have adopted resolutions authorizing the transactions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(g) </w:t>
      </w:r>
      <w:r>
        <w:rPr>
          <w:sz w:val="20"/>
          <w:u w:val="single"/>
        </w:rPr>
        <w:t>Material Adverse Effect</w:t>
      </w:r>
      <w:r>
        <w:rPr>
          <w:sz w:val="20"/>
        </w:rPr>
        <w:t>. No Material Adverse Effect shall have occurred at or before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(h) </w:t>
      </w:r>
      <w:r>
        <w:rPr>
          <w:sz w:val="20"/>
          <w:u w:val="single"/>
        </w:rPr>
        <w:t>Delivery of the Transaction Documents</w:t>
      </w:r>
      <w:r>
        <w:rPr>
          <w:sz w:val="20"/>
        </w:rPr>
        <w:t>. The Transaction Documents to which the Companyisa party shall have been duly executed and delivered by the Company to the Purchaser.</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sz w:val="20"/>
        </w:rPr>
        <w:t>ARTICLE V</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Stock Certificate Legend</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5.1 </w:t>
      </w:r>
      <w:r>
        <w:rPr>
          <w:sz w:val="20"/>
          <w:u w:val="single"/>
        </w:rPr>
        <w:t>Legend</w:t>
      </w:r>
      <w:r>
        <w:rPr>
          <w:sz w:val="20"/>
        </w:rPr>
        <w:t>. Each certificate representing the Shares shall be stamped or otherwise imprinted with a legend substantially in the following form:</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w:t>
      </w:r>
      <w:r>
        <w:rPr>
          <w:sz w:val="20"/>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EXCEPT (1) IN ACCORDANCE WITH THE PROVISIONS OF REGULATION S PROMULGATED UNDER THE SECURITIES ACT, AND BASED ON AN OPINION OF COUNSEL, WHICH COUNSEL AND OPINION ARE REASONABLY SATISFACTORY TO THE COMPANY, THAT THE PROVISIONS OF REGULATION S HAVE BEEN SATISFIED, (2) PURSUANT TO AN EFFECTIVE REGISTRATION STATEMENT UNDER THE SECURITIES ACT AND APPLICABLE STATE SECURITIES LAWS OR (3) PURSUANT TO AN AVAILABLE EXEMPTION FROM THE REGISTRATION REQUIREMENTS OF THE SECURITIES ACT AND APPLICABLE STATE SECURITIES LAWS, IN WHICH CASE THE HOLDER MUST, PRIOR TO SUCH TRANSFER, FURNISH TO THE COMPANY AN OPINION OF COUNSEL, WHICH COUNSEL AND OPINION ARE REASONABLY SATISFACTORY TO THE COMPANY, THAT SUCH SECURITIES MAY BE OFFERED, SOLD, PLEDGED, ASSIGNED OR OTHERWISE TRANSFERRED IN THE MANNER CONTEMPLATED PURSUANT TO AN AVAILABLE EXEMPTION FROM THE REGISTRATION REQUIREMENTS OF THE SECURITIES ACT AND APPLICABLE STATE SECURITIES LAWS. HEDGING TRANSACTIONS INVOLVING THE SECURITIES REPRESENTED BY THIS CERTIFICATE MAY NOT BE CONDUCTED UNLESS IN COMPLIANCE WITH THE SECURITIES ACT.”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The Company agrees to reissue certificates representing any of the Shares, without the legend set forth above if at such time, prior to making any transfer of any such securities, such holder thereof shall give written notice to the Company describing the manner and terms of such sale and removal as the Company may reasonably request. Such proposed transfer and removal will not be effected until: (a) either (i) the Company has received an opinion of counsel reasonably satisfactory to the Company, to the effect that the registration of the Shares under the Securities Act is not required in connection with such proposed transfer, (ii) a registration statement under the Securities Act covering such proposed disposition has been filed by the Company with the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five (5) business days. In the case of any proposed transfer under this Section 5.1,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5.1 shall be in addition to, and not by way of limitation of, any other restrictions on transfer contained in any other section of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sz w:val="20"/>
        </w:rPr>
        <w:t>ARTICLE VI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Indemnification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6.1 </w:t>
      </w:r>
      <w:r>
        <w:rPr>
          <w:sz w:val="20"/>
          <w:u w:val="single"/>
        </w:rPr>
        <w:t>General Indemnity</w:t>
      </w:r>
      <w:r>
        <w:rPr>
          <w:sz w:val="20"/>
        </w:rPr>
        <w:t>. The Company agrees to indemnify and hold harmless the Purchaser (and it directors, officers, managers, partners, members, shareholders, affiliates, agents, successors and assigns) from and against any and all losses, liabilities, deficiencies, costs, damages and expenses (including, without limitation, reasonable attorneys’ fees, charges and disbursements) incurred by the Purchaser as a result of any inaccuracy in or breach of the representations, warranties or covenants made by the Company herein. 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a result of any inaccuracy in or breach of the representations, warranties or covenants made by the Purchaser herein.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6.2 </w:t>
      </w:r>
      <w:r>
        <w:rPr>
          <w:sz w:val="20"/>
          <w:u w:val="single"/>
        </w:rPr>
        <w:t>Indemnification Procedure</w:t>
      </w:r>
      <w:r>
        <w:rPr>
          <w:sz w:val="20"/>
        </w:rPr>
        <w:t>. Any party entitled to indemnification under this Article VI (an “</w:t>
      </w:r>
      <w:r>
        <w:rPr>
          <w:sz w:val="20"/>
          <w:u w:val="single"/>
        </w:rPr>
        <w:t>Indemnified Party</w:t>
      </w:r>
      <w:r>
        <w:rPr>
          <w:sz w:val="20"/>
        </w:rPr>
        <w:t xml:space="preserve">”) will give written notice to the indemnifying party of any matters giving rise to a claim for indemnification; </w:t>
      </w:r>
      <w:r>
        <w:rPr>
          <w:sz w:val="20"/>
          <w:u w:val="single"/>
        </w:rPr>
        <w:t>provided</w:t>
      </w:r>
      <w:r>
        <w:rPr>
          <w:sz w:val="20"/>
        </w:rPr>
        <w:t xml:space="preserve">, that the failure of any party entitled to indemnification hereunder to give notice as provided herein shall not relieve the indemnifying party of its obligations under this Article VI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w:t>
      </w:r>
      <w:r>
        <w:rPr>
          <w:sz w:val="20"/>
          <w:u w:val="single"/>
        </w:rPr>
        <w:t>provided</w:t>
      </w:r>
      <w:r>
        <w:rPr>
          <w:sz w:val="20"/>
        </w:rPr>
        <w:t xml:space="preserve">, </w:t>
      </w:r>
      <w:r>
        <w:rPr>
          <w:sz w:val="20"/>
          <w:u w:val="single"/>
        </w:rPr>
        <w:t>however</w:t>
      </w:r>
      <w:r>
        <w:rPr>
          <w:sz w:val="20"/>
        </w:rPr>
        <w:t>, that the indemnifying party shall be liable for any settlement if the indemnifying party is advised of the settlement but fails to respond to the settlement within thirty (30) days of receipt of such notification. Notwithstanding anything in this Article VI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Article VI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VII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 xml:space="preserve">Section 7.1 </w:t>
      </w:r>
      <w:r>
        <w:rPr>
          <w:sz w:val="20"/>
          <w:u w:val="single"/>
        </w:rPr>
        <w:t>Fees and Expenses</w:t>
      </w:r>
      <w:r>
        <w:rPr>
          <w:sz w:val="20"/>
        </w:rPr>
        <w:t>. Each of the parties to this Agreement shall pay its own fees and expenses of each party’s advisors, counsel, accountants and other experts, if any, and all other expenses, incurred by each party incident to the negotiation, preparation, execution, delivery and performance of this Agreement and of all documents referred to in it.</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 xml:space="preserve">Section 7.2 </w:t>
      </w:r>
      <w:r>
        <w:rPr>
          <w:sz w:val="20"/>
          <w:u w:val="single"/>
        </w:rPr>
        <w:t>Specific Enforcement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both"/>
        <w:rPr>
          <w:sz w:val="20"/>
        </w:rPr>
      </w:pPr>
      <w:r>
        <w:rPr>
          <w:sz w:val="20"/>
        </w:rPr>
        <w:t>(a) The Company and the Purchaser acknowledge and agree that irreparable damage would occur in the event that any of the provisions of this Agreement or the other Transaction Documents were not performed in accordance with their specific terms or were otherwise breached. It is accordingly agreed that the parties shall be entitled to an injunction or injunctions to prevent or cure breaches of the provisions of this Agreement or the other Transaction Documents and to enforce specifically the terms and provisions hereof or thereof, this being in addition to any other remedy to which any of them may be entitled by law or equity.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of the Company and the Purchaser (i) hereby irrevocably submits to the jurisdiction of the United States District Court sitting in the Southern District of New York and the courts of the State of New York located in New York county for the purposes of any suit, action or proceeding arising out of or relating to this Agreement or any of the other Transaction Documents or the transactions contemplated hereby or thereby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Purchaser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in this Section 7.2 shall affect or limit any right to serve process in any other manner permitted by law.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The Company hereby appoints Loeb &amp; Loeb LLP, with offices at 345 Park Avenue, New York, NY 10153 as its agent for service of process in New York. Nothing contained herein shall be deemed to limit in any way any right to serve process in any manner permitted by law.</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 xml:space="preserve">Section 7.3 </w:t>
      </w:r>
      <w:r>
        <w:rPr>
          <w:sz w:val="20"/>
          <w:u w:val="single"/>
        </w:rPr>
        <w:t>Entire Agreement; Amendment</w:t>
      </w:r>
      <w:r>
        <w:rPr>
          <w:sz w:val="20"/>
        </w:rPr>
        <w:t>. This Agreement and the other Transaction Documents contains the entire understanding and agreement of the parties with respect to the matters covered hereby and, except as specifically set forth herein or in the Transaction Documents, neither the Company nor the Purchaser makes any representations, warranty, covenant or undertaking with respect to such matters and they supersede all prior understandings and agreements with respect to said subject matter, all of which are merged herein. No provision of this Agreement nor any of the Transaction Documents may be waived or amended other than by a written instrument signed by the Company and the Purchaser, and no provision hereof may be waived other than by a written instrument signed by the party against whom enforcement of any such waiver is sought.</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bidi w:val="0"/>
        <w:spacing w:before="0" w:after="0"/>
        <w:ind w:left="0" w:right="0" w:firstLine="720"/>
        <w:jc w:val="both"/>
        <w:rPr/>
      </w:pPr>
      <w:r>
        <w:rPr/>
        <w:t> </w:t>
      </w:r>
    </w:p>
    <w:p>
      <w:pPr>
        <w:pStyle w:val="TextBody"/>
        <w:bidi w:val="0"/>
        <w:spacing w:before="0" w:after="0"/>
        <w:ind w:left="0" w:right="0" w:firstLine="720"/>
        <w:jc w:val="left"/>
        <w:rPr>
          <w:sz w:val="20"/>
        </w:rPr>
      </w:pPr>
      <w:r>
        <w:rPr>
          <w:sz w:val="20"/>
        </w:rPr>
        <w:t>If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ZW Data Action Technologies Inc. </w:t>
      </w:r>
    </w:p>
    <w:p>
      <w:pPr>
        <w:pStyle w:val="TextBody"/>
        <w:bidi w:val="0"/>
        <w:spacing w:before="0" w:after="0"/>
        <w:ind w:left="0" w:right="0" w:firstLine="720"/>
        <w:jc w:val="left"/>
        <w:rPr>
          <w:sz w:val="20"/>
        </w:rPr>
      </w:pPr>
      <w:r>
        <w:rPr>
          <w:sz w:val="20"/>
        </w:rPr>
        <w:t>Room 1811, Xinghuo Keji Plaza, No. 2 Fufeng Road, </w:t>
      </w:r>
    </w:p>
    <w:p>
      <w:pPr>
        <w:pStyle w:val="TextBody"/>
        <w:bidi w:val="0"/>
        <w:spacing w:before="0" w:after="0"/>
        <w:ind w:left="0" w:right="0" w:firstLine="720"/>
        <w:jc w:val="left"/>
        <w:rPr>
          <w:sz w:val="20"/>
        </w:rPr>
      </w:pPr>
      <w:r>
        <w:rPr>
          <w:sz w:val="20"/>
        </w:rPr>
        <w:t>Fengtai District, Beijing, PRC 100070 </w:t>
      </w:r>
    </w:p>
    <w:p>
      <w:pPr>
        <w:pStyle w:val="TextBody"/>
        <w:bidi w:val="0"/>
        <w:spacing w:before="0" w:after="0"/>
        <w:ind w:left="0" w:right="0" w:firstLine="720"/>
        <w:jc w:val="left"/>
        <w:rPr>
          <w:sz w:val="20"/>
        </w:rPr>
      </w:pPr>
      <w:r>
        <w:rPr>
          <w:sz w:val="20"/>
        </w:rPr>
        <w:t>Attention: Mr. Handong Cheng </w:t>
      </w:r>
    </w:p>
    <w:p>
      <w:pPr>
        <w:pStyle w:val="TextBody"/>
        <w:bidi w:val="0"/>
        <w:spacing w:before="0" w:after="0"/>
        <w:ind w:left="0" w:right="0" w:firstLine="720"/>
        <w:jc w:val="left"/>
        <w:rPr>
          <w:sz w:val="20"/>
        </w:rPr>
      </w:pPr>
      <w:r>
        <w:rPr>
          <w:sz w:val="20"/>
        </w:rPr>
        <w:t>Tel. No.: +86-10-51600828 </w:t>
      </w:r>
    </w:p>
    <w:p>
      <w:pPr>
        <w:pStyle w:val="TextBody"/>
        <w:bidi w:val="0"/>
        <w:spacing w:before="0" w:after="0"/>
        <w:ind w:left="0" w:right="0" w:firstLine="720"/>
        <w:jc w:val="left"/>
        <w:rPr>
          <w:sz w:val="20"/>
        </w:rPr>
      </w:pPr>
      <w:r>
        <w:rPr>
          <w:sz w:val="20"/>
        </w:rPr>
        <w:t>Fax No.: +86-10-51600328</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with copies (which shall not constitute notice) to:</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Loeb &amp; Loeb LLP </w:t>
      </w:r>
    </w:p>
    <w:p>
      <w:pPr>
        <w:pStyle w:val="TextBody"/>
        <w:bidi w:val="0"/>
        <w:spacing w:before="0" w:after="0"/>
        <w:ind w:left="0" w:right="0" w:firstLine="720"/>
        <w:jc w:val="left"/>
        <w:rPr>
          <w:sz w:val="20"/>
        </w:rPr>
      </w:pPr>
      <w:r>
        <w:rPr>
          <w:sz w:val="20"/>
        </w:rPr>
        <w:t>345 Park Avenue </w:t>
      </w:r>
    </w:p>
    <w:p>
      <w:pPr>
        <w:pStyle w:val="TextBody"/>
        <w:bidi w:val="0"/>
        <w:spacing w:before="0" w:after="0"/>
        <w:ind w:left="0" w:right="0" w:firstLine="720"/>
        <w:jc w:val="left"/>
        <w:rPr>
          <w:sz w:val="20"/>
        </w:rPr>
      </w:pPr>
      <w:r>
        <w:rPr>
          <w:sz w:val="20"/>
        </w:rPr>
        <w:t>New York, NY 10154 </w:t>
      </w:r>
    </w:p>
    <w:p>
      <w:pPr>
        <w:pStyle w:val="TextBody"/>
        <w:bidi w:val="0"/>
        <w:spacing w:before="0" w:after="0"/>
        <w:ind w:left="0" w:right="0" w:firstLine="720"/>
        <w:jc w:val="left"/>
        <w:rPr>
          <w:sz w:val="20"/>
        </w:rPr>
      </w:pPr>
      <w:r>
        <w:rPr>
          <w:sz w:val="20"/>
        </w:rPr>
        <w:t>Attention: Mitchell S. Nussbaum, Esq. </w:t>
      </w:r>
    </w:p>
    <w:p>
      <w:pPr>
        <w:pStyle w:val="TextBody"/>
        <w:bidi w:val="0"/>
        <w:spacing w:before="0" w:after="0"/>
        <w:ind w:left="0" w:right="0" w:firstLine="720"/>
        <w:jc w:val="left"/>
        <w:rPr>
          <w:sz w:val="20"/>
        </w:rPr>
      </w:pPr>
      <w:r>
        <w:rPr>
          <w:sz w:val="20"/>
        </w:rPr>
        <w:t>Tel. No.: (212) 407-4000 </w:t>
      </w:r>
    </w:p>
    <w:p>
      <w:pPr>
        <w:pStyle w:val="TextBody"/>
        <w:bidi w:val="0"/>
        <w:spacing w:before="0" w:after="0"/>
        <w:ind w:left="0" w:right="0" w:firstLine="720"/>
        <w:jc w:val="left"/>
        <w:rPr>
          <w:sz w:val="20"/>
        </w:rPr>
      </w:pPr>
      <w:r>
        <w:rPr>
          <w:sz w:val="20"/>
        </w:rPr>
        <w:t>Fax No.: (212) 407-4990</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If to the Purchaser: </w:t>
      </w:r>
    </w:p>
    <w:p>
      <w:pPr>
        <w:pStyle w:val="TextBody"/>
        <w:bidi w:val="0"/>
        <w:spacing w:before="0" w:after="0"/>
        <w:ind w:left="727" w:right="0" w:hanging="0"/>
        <w:jc w:val="both"/>
        <w:rPr>
          <w:sz w:val="20"/>
        </w:rPr>
      </w:pPr>
      <w:r>
        <w:rPr>
          <w:sz w:val="20"/>
        </w:rPr>
        <w:t>Global Yeh Family Ltd., </w:t>
      </w:r>
    </w:p>
    <w:p>
      <w:pPr>
        <w:pStyle w:val="TextBody"/>
        <w:bidi w:val="0"/>
        <w:spacing w:before="0" w:after="0"/>
        <w:ind w:left="727" w:right="0" w:hanging="0"/>
        <w:jc w:val="both"/>
        <w:rPr>
          <w:sz w:val="20"/>
        </w:rPr>
      </w:pPr>
      <w:r>
        <w:rPr>
          <w:sz w:val="20"/>
        </w:rPr>
        <w:t>11 F.-3, No. 41, Liansheng St., Zhonghe Dist., New Taipei City 235603, Taiwan (R.O.C.) </w:t>
      </w:r>
    </w:p>
    <w:p>
      <w:pPr>
        <w:pStyle w:val="TextBody"/>
        <w:bidi w:val="0"/>
        <w:spacing w:before="0" w:after="0"/>
        <w:ind w:left="727" w:right="0" w:hanging="0"/>
        <w:jc w:val="both"/>
        <w:rPr>
          <w:sz w:val="20"/>
        </w:rPr>
      </w:pPr>
      <w:r>
        <w:rPr>
          <w:sz w:val="20"/>
        </w:rPr>
        <w:t>Attention: Yeh Hsin Jung </w:t>
      </w:r>
    </w:p>
    <w:p>
      <w:pPr>
        <w:pStyle w:val="TextBody"/>
        <w:bidi w:val="0"/>
        <w:spacing w:before="0" w:after="0"/>
        <w:ind w:left="727" w:right="0" w:hanging="0"/>
        <w:jc w:val="both"/>
        <w:rPr>
          <w:sz w:val="20"/>
        </w:rPr>
      </w:pPr>
      <w:r>
        <w:rPr>
          <w:sz w:val="20"/>
        </w:rPr>
        <w:t>Tel. No.: +85223753733</w:t>
      </w:r>
    </w:p>
    <w:p>
      <w:pPr>
        <w:pStyle w:val="TextBody"/>
        <w:bidi w:val="0"/>
        <w:spacing w:before="0" w:after="0"/>
        <w:ind w:left="727" w:right="0" w:hanging="0"/>
        <w:jc w:val="both"/>
        <w:rPr/>
      </w:pPr>
      <w:r>
        <w:rPr/>
        <w:t> </w:t>
      </w:r>
    </w:p>
    <w:p>
      <w:pPr>
        <w:pStyle w:val="TextBody"/>
        <w:bidi w:val="0"/>
        <w:spacing w:before="0" w:after="0"/>
        <w:ind w:left="22" w:right="0" w:firstLine="700"/>
        <w:jc w:val="both"/>
        <w:rPr>
          <w:sz w:val="20"/>
        </w:rPr>
      </w:pPr>
      <w:r>
        <w:rPr>
          <w:sz w:val="20"/>
        </w:rPr>
        <w:t>Any party hereto may from time to time change its address for notices by giving at least ten (10) days written notice of such changed address to the other party hereto.</w:t>
      </w:r>
    </w:p>
    <w:p>
      <w:pPr>
        <w:pStyle w:val="TextBody"/>
        <w:bidi w:val="0"/>
        <w:spacing w:before="0" w:after="0"/>
        <w:ind w:left="22" w:right="0" w:firstLine="700"/>
        <w:jc w:val="both"/>
        <w:rPr/>
      </w:pPr>
      <w:r>
        <w:rPr/>
        <w:t> </w:t>
      </w:r>
    </w:p>
    <w:p>
      <w:pPr>
        <w:pStyle w:val="TextBody"/>
        <w:bidi w:val="0"/>
        <w:spacing w:before="0" w:after="0"/>
        <w:ind w:left="0" w:right="0" w:firstLine="720"/>
        <w:jc w:val="both"/>
        <w:rPr>
          <w:sz w:val="20"/>
        </w:rPr>
      </w:pPr>
      <w:r>
        <w:rPr>
          <w:sz w:val="20"/>
        </w:rPr>
        <w:t xml:space="preserve">Section 7.5 </w:t>
      </w:r>
      <w:r>
        <w:rPr>
          <w:sz w:val="20"/>
          <w:u w:val="single"/>
        </w:rPr>
        <w:t>Waivers</w:t>
      </w:r>
      <w:r>
        <w:rPr>
          <w:sz w:val="20"/>
        </w:rPr>
        <w:t>. No waiver by any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7.6 </w:t>
      </w:r>
      <w:r>
        <w:rPr>
          <w:sz w:val="20"/>
          <w:u w:val="single"/>
        </w:rPr>
        <w:t>Headings</w:t>
      </w:r>
      <w:r>
        <w:rPr>
          <w:sz w:val="20"/>
        </w:rPr>
        <w:t>. The section headings contained in this Agreement (including, without limitation, section headings and headings in the exhibits and schedules)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7.7 </w:t>
      </w:r>
      <w:r>
        <w:rPr>
          <w:sz w:val="20"/>
          <w:u w:val="single"/>
        </w:rPr>
        <w:t>Successors and Assigns</w:t>
      </w:r>
      <w:r>
        <w:rPr>
          <w:sz w:val="20"/>
        </w:rPr>
        <w:t xml:space="preserve">. This Agreement may not be assigned by a party hereto without the prior written consent of the Company or the Purchaser, as applicable, </w:t>
      </w:r>
      <w:r>
        <w:rPr>
          <w:sz w:val="20"/>
          <w:u w:val="single"/>
        </w:rPr>
        <w:t>provided</w:t>
      </w:r>
      <w:r>
        <w:rPr>
          <w:sz w:val="20"/>
        </w:rPr>
        <w:t xml:space="preserve">, </w:t>
      </w:r>
      <w:r>
        <w:rPr>
          <w:sz w:val="20"/>
          <w:u w:val="single"/>
        </w:rPr>
        <w:t>however</w:t>
      </w:r>
      <w:r>
        <w:rPr>
          <w:sz w:val="20"/>
        </w:rPr>
        <w:t xml:space="preserve">, that, subject to federal and state securities laws and as otherwise provided in the Transaction Documents,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sz w:val="20"/>
          <w:u w:val="single"/>
        </w:rPr>
        <w:t>provided</w:t>
      </w:r>
      <w:r>
        <w:rPr>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7.8 </w:t>
      </w:r>
      <w:r>
        <w:rPr>
          <w:sz w:val="20"/>
          <w:u w:val="single"/>
        </w:rPr>
        <w:t>No Third Party Beneficiaries</w:t>
      </w:r>
      <w:r>
        <w:rPr>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7.9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7.10 </w:t>
      </w:r>
      <w:r>
        <w:rPr>
          <w:sz w:val="20"/>
          <w:u w:val="single"/>
        </w:rPr>
        <w:t>Survival</w:t>
      </w:r>
      <w:r>
        <w:rPr>
          <w:sz w:val="20"/>
        </w:rPr>
        <w:t>. The representations and warranties of the Company and the Purchaser shall survive the execution and delivery hereof and the Closing hereunder for a period of three (3) years following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Section 7.12</w:t>
      </w:r>
      <w:r>
        <w:rPr>
          <w:sz w:val="20"/>
          <w:u w:val="single"/>
        </w:rPr>
        <w:t xml:space="preserve"> Severability</w:t>
      </w:r>
      <w:r>
        <w:rPr>
          <w:sz w:val="20"/>
        </w:rPr>
        <w:t>. The provisions of this Agreement and the Transaction Documents are severable and, in the event that any court of competent jurisdiction shall determine that any one or more of the provisions or part of the provisions contained in this Agreement or the Transaction Documents shall, for any reason, be held to be invalid, illegal or unenforceable in any respect, such invalidity, illegality or unenforceability shall not affect any other provision or part of a provision of this Agreement or the Transaction Documents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7.13 </w:t>
      </w:r>
      <w:r>
        <w:rPr>
          <w:sz w:val="20"/>
          <w:u w:val="single"/>
        </w:rPr>
        <w:t>Further Assurances</w:t>
      </w:r>
      <w:r>
        <w:rPr>
          <w:sz w:val="20"/>
        </w:rPr>
        <w:t>. From and after the date of this Agreement, upon the request of the Purchaser or the Company, each of the Company and the Purchaser shall execute and deliver such instrument, documents and other writings as may be reasonably necessary or desirable to confirm and carry out and to effectuate fully the intent and purposes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7.15 </w:t>
      </w:r>
      <w:r>
        <w:rPr>
          <w:sz w:val="20"/>
          <w:u w:val="single"/>
        </w:rPr>
        <w:t>Currency</w:t>
      </w:r>
      <w:r>
        <w:rPr>
          <w:sz w:val="20"/>
        </w:rPr>
        <w:t>. Unless otherwise indicated, all dollar amounts referred to in this Agreement are in United States Dollars. All amounts owing under this Agreement or any Transaction Document shall be paid in US dollars. All amounts denominated in other currencies shall be converted in the US dollar equivalent amount in accordance with the Exchange Rate on the date of calculation. “Exchange Rate” means, in relation to any amount of currency to be converted into US dollars pursuant to this Agreement, the US dollar exchange rate as published in The Wall Street Journal on the relevant date of calculation.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 xml:space="preserve">Section 7.16 </w:t>
      </w:r>
      <w:r>
        <w:rPr>
          <w:sz w:val="20"/>
          <w:u w:val="single"/>
        </w:rPr>
        <w:t>Force Majeure</w:t>
      </w:r>
      <w:r>
        <w:rPr>
          <w:sz w:val="20"/>
        </w:rPr>
        <w:t>. If the transactions under this Agreement cannot be completed due to any political, military, government intervention or any other force majeure causes which are out of the Company’s or the Purchaser’s control, this Agreement shall be terminated automatically. Upon a termination in accordance with this Section 7.16,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 xml:space="preserve">Section 7.17 </w:t>
      </w:r>
      <w:r>
        <w:rPr>
          <w:sz w:val="20"/>
          <w:u w:val="single"/>
        </w:rPr>
        <w:t>Termination by Mutual Agreement</w:t>
      </w:r>
      <w:r>
        <w:rPr>
          <w:sz w:val="20"/>
        </w:rPr>
        <w:t>. This Agreement may be terminated prior to the Closing by written agreement of the Company and the Purchaser. Upon a termination in accordance with this Section 7.17, the Company and the Purchaser shall not have any further obligation or liability (including as arising from such termination) to the other.</w:t>
      </w:r>
    </w:p>
    <w:p>
      <w:pPr>
        <w:pStyle w:val="TextBody"/>
        <w:bidi w:val="0"/>
        <w:spacing w:before="0" w:after="0"/>
        <w:ind w:left="0" w:right="0" w:firstLine="720"/>
        <w:jc w:val="both"/>
        <w:rPr/>
      </w:pPr>
      <w:r>
        <w:rPr/>
        <w:t> </w:t>
      </w:r>
    </w:p>
    <w:p>
      <w:pPr>
        <w:pStyle w:val="TextBody"/>
        <w:bidi w:val="0"/>
        <w:spacing w:before="0" w:after="0"/>
        <w:ind w:left="0" w:right="0" w:hanging="0"/>
        <w:jc w:val="center"/>
        <w:rPr>
          <w:sz w:val="20"/>
        </w:rPr>
      </w:pPr>
      <w:r>
        <w:rPr>
          <w:sz w:val="20"/>
        </w:rPr>
        <w:t>[REMAINDER OF PAGE INTENTIONALLY LEFT BLANK]</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IN WITNESS WHEREOF, the parties hereto have caused this Agreement to be duly executed by their respective authorized officer as of the date first above written.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sz w:val="20"/>
              </w:rPr>
            </w:pPr>
            <w:r>
              <w:rPr>
                <w:sz w:val="20"/>
              </w:rPr>
              <w:t>ZW DATA ACTION TECHNOLOGIES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359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Handong Cheng</w:t>
            </w:r>
          </w:p>
        </w:tc>
      </w:tr>
      <w:tr>
        <w:trPr/>
        <w:tc>
          <w:tcPr>
            <w:tcW w:w="395" w:type="dxa"/>
            <w:gridSpan w:val="2"/>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600" w:right="0" w:hanging="600"/>
              <w:jc w:val="left"/>
              <w:rPr>
                <w:sz w:val="20"/>
              </w:rPr>
            </w:pPr>
            <w:r>
              <w:rPr>
                <w:sz w:val="20"/>
              </w:rPr>
              <w:t>Title: Chief Executive Officer</w:t>
            </w:r>
          </w:p>
          <w:p>
            <w:pPr>
              <w:pStyle w:val="TableContents"/>
              <w:bidi w:val="0"/>
              <w:spacing w:before="0" w:after="0"/>
              <w:ind w:left="600" w:right="0" w:hanging="60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COUNTERPART SIGNATURE PAGE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By its execution and delivery of this signature page, the undersigned Purchaser hereby agrees to be bound by the terms and conditions of the Securities Purchase Agreement, dated as of July 30, 2026.</w:t>
      </w:r>
    </w:p>
    <w:p>
      <w:pPr>
        <w:pStyle w:val="TextBody"/>
        <w:bidi w:val="0"/>
        <w:spacing w:before="0" w:after="0"/>
        <w:ind w:left="0" w:right="0" w:firstLine="720"/>
        <w:jc w:val="both"/>
        <w:rPr/>
      </w:pPr>
      <w:r>
        <w:rPr/>
        <w:t> </w:t>
      </w:r>
    </w:p>
    <w:p>
      <w:pPr>
        <w:pStyle w:val="TextBody"/>
        <w:bidi w:val="0"/>
        <w:spacing w:before="0" w:after="0"/>
        <w:ind w:left="0" w:right="0" w:hanging="0"/>
        <w:jc w:val="center"/>
        <w:rPr/>
      </w:pPr>
      <w:r>
        <w:rPr/>
        <w:t> </w:t>
      </w:r>
    </w:p>
    <w:tbl>
      <w:tblPr>
        <w:tblW w:w="2524" w:type="dxa"/>
        <w:jc w:val="left"/>
        <w:tblInd w:w="0" w:type="dxa"/>
        <w:tblLayout w:type="fixed"/>
        <w:tblCellMar>
          <w:top w:w="0" w:type="dxa"/>
          <w:left w:w="0" w:type="dxa"/>
          <w:bottom w:w="0" w:type="dxa"/>
          <w:right w:w="0" w:type="dxa"/>
        </w:tblCellMar>
      </w:tblPr>
      <w:tblGrid>
        <w:gridCol w:w="75"/>
        <w:gridCol w:w="371"/>
        <w:gridCol w:w="2078"/>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sz w:val="20"/>
              </w:rPr>
            </w:pPr>
            <w:r>
              <w:rPr>
                <w:sz w:val="20"/>
              </w:rPr>
              <w:t>GLOBAL YEH FMAILY LTD</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By:</w:t>
            </w:r>
          </w:p>
        </w:tc>
        <w:tc>
          <w:tcPr>
            <w:tcW w:w="2078"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pBdr>
                <w:bottom w:val="single" w:sz="8" w:space="1" w:color="000000"/>
              </w:pBdr>
              <w:bidi w:val="0"/>
              <w:spacing w:before="0" w:after="0"/>
              <w:ind w:left="0" w:right="0" w:hanging="0"/>
              <w:jc w:val="left"/>
              <w:rPr>
                <w:sz w:val="20"/>
              </w:rPr>
            </w:pPr>
            <w:r>
              <w:rPr>
                <w:sz w:val="20"/>
              </w:rPr>
              <w:t>/s/ Yeh Hsin Jung</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left"/>
              <w:rPr>
                <w:sz w:val="20"/>
              </w:rPr>
            </w:pPr>
            <w:r>
              <w:rPr>
                <w:sz w:val="20"/>
              </w:rPr>
              <w:t>Name: Yeh Hsin Jung</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left"/>
              <w:rPr>
                <w:sz w:val="20"/>
              </w:rPr>
            </w:pPr>
            <w:r>
              <w:rPr>
                <w:sz w:val="20"/>
              </w:rPr>
              <w:t>Title:   Director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PRINT EXACT NAME IN WHICH YOU WANT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TO BE REGISTERED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220" w:type="dxa"/>
        <w:jc w:val="left"/>
        <w:tblInd w:w="0" w:type="dxa"/>
        <w:tblLayout w:type="fixed"/>
        <w:tblCellMar>
          <w:top w:w="0" w:type="dxa"/>
          <w:left w:w="0" w:type="dxa"/>
          <w:bottom w:w="0" w:type="dxa"/>
          <w:right w:w="0" w:type="dxa"/>
        </w:tblCellMar>
      </w:tblPr>
      <w:tblGrid>
        <w:gridCol w:w="1145"/>
        <w:gridCol w:w="75"/>
      </w:tblGrid>
      <w:tr>
        <w:trPr/>
        <w:tc>
          <w:tcPr>
            <w:tcW w:w="1145" w:type="dxa"/>
            <w:tcBorders/>
            <w:vAlign w:val="center"/>
          </w:tcPr>
          <w:p>
            <w:pPr>
              <w:pStyle w:val="TableContents"/>
              <w:bidi w:val="0"/>
              <w:spacing w:before="0" w:after="283"/>
              <w:jc w:val="left"/>
              <w:rPr>
                <w:sz w:val="20"/>
              </w:rPr>
            </w:pPr>
            <w:r>
              <w:rPr>
                <w:sz w:val="20"/>
              </w:rPr>
              <w:t>Attn:</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Address:</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Phone No.</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Facsimile 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A TO THE</w:t>
      </w:r>
    </w:p>
    <w:p>
      <w:pPr>
        <w:pStyle w:val="TextBody"/>
        <w:bidi w:val="0"/>
        <w:spacing w:before="0" w:after="0"/>
        <w:ind w:left="0" w:right="0" w:hanging="0"/>
        <w:jc w:val="center"/>
        <w:rPr>
          <w:b/>
          <w:sz w:val="20"/>
        </w:rPr>
      </w:pPr>
      <w:r>
        <w:rPr>
          <w:b/>
          <w:sz w:val="20"/>
        </w:rPr>
        <w:t>SECURITIES PURCHASE AGREEMENT</w:t>
      </w:r>
    </w:p>
    <w:p>
      <w:pPr>
        <w:pStyle w:val="TextBody"/>
        <w:bidi w:val="0"/>
        <w:spacing w:before="0" w:after="0"/>
        <w:ind w:left="0" w:right="0" w:hanging="0"/>
        <w:jc w:val="center"/>
        <w:rPr/>
      </w:pPr>
      <w:r>
        <w:rPr/>
        <w:t> </w:t>
      </w:r>
    </w:p>
    <w:p>
      <w:pPr>
        <w:pStyle w:val="TextBody"/>
        <w:bidi w:val="0"/>
        <w:spacing w:before="0" w:after="0"/>
        <w:jc w:val="center"/>
        <w:rPr>
          <w:sz w:val="20"/>
        </w:rPr>
      </w:pPr>
      <w:r>
        <w:rPr>
          <w:sz w:val="20"/>
        </w:rPr>
        <w:t>_____________________________________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FORM OF LOCK-UP AGREEMENT</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sz w:val="20"/>
        </w:rPr>
      </w:pPr>
      <w:r>
        <w:rPr>
          <w:b/>
          <w:sz w:val="20"/>
        </w:rPr>
        <w:t>LOCK-UP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This LOCK-UP AGREEMENT (this “</w:t>
      </w:r>
      <w:r>
        <w:rPr>
          <w:sz w:val="20"/>
          <w:u w:val="single"/>
        </w:rPr>
        <w:t>Agreement</w:t>
      </w:r>
      <w:r>
        <w:rPr>
          <w:sz w:val="20"/>
        </w:rPr>
        <w:t>”) is dated as of July 30, 2026 by and among ZW Data Action Technologies Inc., a Nevada corporation (NASDAQ: CNET) (the “Company”), and Global Yeh Family Ltd., a Republic of China (ROC) business company (Company number: 92600924) (the “</w:t>
      </w:r>
      <w:r>
        <w:rPr>
          <w:sz w:val="20"/>
          <w:u w:val="single"/>
        </w:rPr>
        <w:t>Purchaser</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the Company intends to consummate a private placement transaction with the Purchaser, whereby the Company will issue 250,000 shares of common stock (the “</w:t>
      </w:r>
      <w:r>
        <w:rPr>
          <w:sz w:val="20"/>
          <w:u w:val="single"/>
        </w:rPr>
        <w:t>Shares</w:t>
      </w:r>
      <w:r>
        <w:rPr>
          <w:sz w:val="20"/>
        </w:rPr>
        <w:t>”) to the Purchaser;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connection with the transaction, the Company entered into a Securities Purchase Agreement, dated as of the date hereof (the “</w:t>
      </w:r>
      <w:r>
        <w:rPr>
          <w:sz w:val="20"/>
          <w:u w:val="single"/>
        </w:rPr>
        <w:t>Purchase Agreement</w:t>
      </w:r>
      <w:r>
        <w:rPr>
          <w:sz w:val="20"/>
        </w:rPr>
        <w:t>”), by and among the Company and the Purchaser, and certain other agreements, documents, instruments and certificates necessary to carry out the purposes thereof (collectively, the “</w:t>
      </w:r>
      <w:r>
        <w:rPr>
          <w:sz w:val="20"/>
          <w:u w:val="single"/>
        </w:rPr>
        <w:t>Transaction Documents</w:t>
      </w:r>
      <w:r>
        <w:rPr>
          <w:sz w:val="20"/>
        </w:rPr>
        <w:t>”); and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WHEREAS, in order to induce the Company and the Purchaser to enter into the Purchase Agreement, the Purchaser has agreed not to sell any of the Shares, except in accordance with the terms and conditions set forth herein (the “</w:t>
      </w:r>
      <w:r>
        <w:rPr>
          <w:sz w:val="20"/>
          <w:u w:val="single"/>
        </w:rPr>
        <w:t>Lock-Up Shares</w:t>
      </w:r>
      <w:r>
        <w:rPr>
          <w:sz w:val="20"/>
        </w:rPr>
        <w:t>”). Capitalized terms used herein without definition shall have the meanings assigned to such terms in the Purchase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NOW, THEREFORE, in consideration of the covenants and conditions hereinafter contained, the parties hereto agree as follows: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1. </w:t>
      </w:r>
      <w:r>
        <w:rPr>
          <w:sz w:val="20"/>
          <w:u w:val="single"/>
        </w:rPr>
        <w:t>Restriction on Transfer; Term</w:t>
      </w:r>
      <w:r>
        <w:rPr>
          <w:sz w:val="20"/>
        </w:rPr>
        <w:t>. The Purchaser hereby agrees not to offer, sell, contract to sell, assign, transfer, hypothecate, gift, pledge or grant a security interest in, or otherwise dispose of, or enter into any transaction which is designed to, or might reasonably be expected to, result in the disposition of (whether by actual disposition or effective economic disposition due to cash settlement or otherwise, directly or indirectly) (each, a “</w:t>
      </w:r>
      <w:r>
        <w:rPr>
          <w:sz w:val="20"/>
          <w:u w:val="single"/>
        </w:rPr>
        <w:t>Transfer</w:t>
      </w:r>
      <w:r>
        <w:rPr>
          <w:sz w:val="20"/>
        </w:rPr>
        <w:t>”), any of the Lock-Up Shares until the six-month anniversary of the date of this Agreement (the “</w:t>
      </w:r>
      <w:r>
        <w:rPr>
          <w:sz w:val="20"/>
          <w:u w:val="single"/>
        </w:rPr>
        <w:t>Lock-Up Period</w:t>
      </w:r>
      <w:r>
        <w:rPr>
          <w:sz w:val="20"/>
        </w:rPr>
        <w: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2. </w:t>
      </w:r>
      <w:r>
        <w:rPr>
          <w:sz w:val="20"/>
          <w:u w:val="single"/>
        </w:rPr>
        <w:t>Ownership</w:t>
      </w:r>
      <w:r>
        <w:rPr>
          <w:sz w:val="20"/>
        </w:rPr>
        <w:t>. During the Lock-Up Period, the Purchaser shall retain all rights of ownership in the Lock-Up Shares, including, without limitation, voting rights and the right to receive any dividends that may be declared in respect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3. </w:t>
      </w:r>
      <w:r>
        <w:rPr>
          <w:sz w:val="20"/>
          <w:u w:val="single"/>
        </w:rPr>
        <w:t>Company and Transfer Agent</w:t>
      </w:r>
      <w:r>
        <w:rPr>
          <w:sz w:val="20"/>
        </w:rPr>
        <w:t>. The Company is hereby authorized and required to disclose the existence of this Agreement to its transfer agent. The Company and its transfer agent are hereby authorized and required to decline to make any transfer of the Lock-Up Shares if such transfer would constitute a violation or breach of this Agreement.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4. </w:t>
      </w:r>
      <w:r>
        <w:rPr>
          <w:sz w:val="20"/>
          <w:u w:val="single"/>
        </w:rPr>
        <w:t>Notices</w:t>
      </w:r>
      <w:r>
        <w:rPr>
          <w:sz w:val="20"/>
        </w:rPr>
        <w:t>. All notices, demands, consents, requests, instructions and other communications to be given or delivered or permitted under or by reason of the provisions of this Agreement or in connection with the transactions contemplated hereby shall be in writing and shall be deemed to be delivered and received by the intended recipient as follows: (i) if personally delivered, on the business day of such delivery (as evidenced by the receipt of the personal delivery service), (ii) if mailed certified or registered mail return receipt requested, two (2) business days after being mailed, (iii) if delivered by overnight courier (with all charges having been prepaid), on the business day of such delivery (as evidenced by the receipt of the overnight courier service of recognized standing), or (iv) if delivered by facsimile transmission, on the business day of such delivery if sent by 6:00 p.m. in the time zone of the recipient, or if sent after that time, on the next succeeding business day (as evidenced by the printed confirmation of delivery generated by the sending party’s telecopier machine). If any notice, demand, consent, request, instruction or other communication cannot be delivered because of a changed address of which no notice was given (in accordance with this Section 4), or the refusal to accept same, the notice, demand, consent, request, instruction or other communication shall be deemed received on the second business day the notice is sent (as evidenced by a sworn affidavit of the sender). All such notices, demands, consents, requests, instructions and other communications will be sent to the following addresses or facsimile numbers as applicable.</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If to the Company:</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ZW Data Action Technologies Inc.</w:t>
      </w:r>
    </w:p>
    <w:p>
      <w:pPr>
        <w:pStyle w:val="TextBody"/>
        <w:shd w:fill="FFFFFF" w:val="clear"/>
        <w:bidi w:val="0"/>
        <w:spacing w:before="0" w:after="0"/>
        <w:ind w:left="0" w:right="0" w:firstLine="720"/>
        <w:jc w:val="both"/>
        <w:rPr>
          <w:sz w:val="20"/>
        </w:rPr>
      </w:pPr>
      <w:r>
        <w:rPr>
          <w:sz w:val="20"/>
        </w:rPr>
        <w:t>Room 1811, Xinghuo Keji Plaza, No. 2 Fufeng Road,</w:t>
      </w:r>
    </w:p>
    <w:p>
      <w:pPr>
        <w:pStyle w:val="TextBody"/>
        <w:shd w:fill="FFFFFF" w:val="clear"/>
        <w:bidi w:val="0"/>
        <w:spacing w:before="0" w:after="0"/>
        <w:ind w:left="0" w:right="0" w:firstLine="720"/>
        <w:jc w:val="both"/>
        <w:rPr>
          <w:sz w:val="20"/>
        </w:rPr>
      </w:pPr>
      <w:r>
        <w:rPr>
          <w:sz w:val="20"/>
        </w:rPr>
        <w:t>Fengtai District, Beijing, PRC 100070</w:t>
      </w:r>
    </w:p>
    <w:p>
      <w:pPr>
        <w:pStyle w:val="TextBody"/>
        <w:shd w:fill="FFFFFF" w:val="clear"/>
        <w:bidi w:val="0"/>
        <w:spacing w:before="0" w:after="0"/>
        <w:ind w:left="0" w:right="0" w:firstLine="720"/>
        <w:jc w:val="both"/>
        <w:rPr>
          <w:sz w:val="20"/>
        </w:rPr>
      </w:pPr>
      <w:r>
        <w:rPr>
          <w:sz w:val="20"/>
        </w:rPr>
        <w:t>Attention: Mr. Handong Cheng</w:t>
      </w:r>
    </w:p>
    <w:p>
      <w:pPr>
        <w:pStyle w:val="TextBody"/>
        <w:shd w:fill="FFFFFF" w:val="clear"/>
        <w:bidi w:val="0"/>
        <w:spacing w:before="0" w:after="0"/>
        <w:ind w:left="0" w:right="0" w:firstLine="720"/>
        <w:jc w:val="both"/>
        <w:rPr>
          <w:sz w:val="20"/>
        </w:rPr>
      </w:pPr>
      <w:r>
        <w:rPr>
          <w:sz w:val="20"/>
        </w:rPr>
        <w:t>Tel. No.: +86-10-51600828</w:t>
      </w:r>
    </w:p>
    <w:p>
      <w:pPr>
        <w:pStyle w:val="TextBody"/>
        <w:shd w:fill="FFFFFF" w:val="clear"/>
        <w:bidi w:val="0"/>
        <w:spacing w:before="0" w:after="0"/>
        <w:ind w:left="0" w:right="0" w:firstLine="720"/>
        <w:jc w:val="both"/>
        <w:rPr>
          <w:sz w:val="20"/>
        </w:rPr>
      </w:pPr>
      <w:r>
        <w:rPr>
          <w:sz w:val="20"/>
        </w:rPr>
        <w:t>Fax No.: +86-10-51600328</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with copies (which copies shall not constitute notice to the Company) to:</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Loeb &amp; Loeb LLP</w:t>
      </w:r>
    </w:p>
    <w:p>
      <w:pPr>
        <w:pStyle w:val="TextBody"/>
        <w:shd w:fill="FFFFFF" w:val="clear"/>
        <w:bidi w:val="0"/>
        <w:spacing w:before="0" w:after="0"/>
        <w:ind w:left="0" w:right="0" w:firstLine="720"/>
        <w:jc w:val="both"/>
        <w:rPr>
          <w:sz w:val="20"/>
        </w:rPr>
      </w:pPr>
      <w:r>
        <w:rPr>
          <w:sz w:val="20"/>
        </w:rPr>
        <w:t>345 Park Avenue</w:t>
      </w:r>
    </w:p>
    <w:p>
      <w:pPr>
        <w:pStyle w:val="TextBody"/>
        <w:shd w:fill="FFFFFF" w:val="clear"/>
        <w:bidi w:val="0"/>
        <w:spacing w:before="0" w:after="0"/>
        <w:ind w:left="0" w:right="0" w:firstLine="720"/>
        <w:jc w:val="both"/>
        <w:rPr>
          <w:sz w:val="20"/>
        </w:rPr>
      </w:pPr>
      <w:r>
        <w:rPr>
          <w:sz w:val="20"/>
        </w:rPr>
        <w:t>New York, NY 10154</w:t>
      </w:r>
    </w:p>
    <w:p>
      <w:pPr>
        <w:pStyle w:val="TextBody"/>
        <w:shd w:fill="FFFFFF" w:val="clear"/>
        <w:bidi w:val="0"/>
        <w:spacing w:before="0" w:after="0"/>
        <w:ind w:left="0" w:right="0" w:firstLine="720"/>
        <w:jc w:val="both"/>
        <w:rPr>
          <w:sz w:val="20"/>
        </w:rPr>
      </w:pPr>
      <w:r>
        <w:rPr>
          <w:sz w:val="20"/>
        </w:rPr>
        <w:t>Attn.: Mitchell Nussbaum, Esq.</w:t>
      </w:r>
    </w:p>
    <w:p>
      <w:pPr>
        <w:pStyle w:val="TextBody"/>
        <w:shd w:fill="FFFFFF" w:val="clear"/>
        <w:bidi w:val="0"/>
        <w:spacing w:before="0" w:after="0"/>
        <w:ind w:left="0" w:right="0" w:firstLine="720"/>
        <w:jc w:val="both"/>
        <w:rPr>
          <w:sz w:val="20"/>
        </w:rPr>
      </w:pPr>
      <w:r>
        <w:rPr>
          <w:sz w:val="20"/>
        </w:rPr>
        <w:t>Tel. No.: (212) 407-4159</w:t>
      </w:r>
    </w:p>
    <w:p>
      <w:pPr>
        <w:pStyle w:val="TextBody"/>
        <w:shd w:fill="FFFFFF" w:val="clear"/>
        <w:bidi w:val="0"/>
        <w:spacing w:before="0" w:after="0"/>
        <w:ind w:left="0" w:right="0" w:firstLine="720"/>
        <w:jc w:val="both"/>
        <w:rPr>
          <w:sz w:val="20"/>
        </w:rPr>
      </w:pPr>
      <w:r>
        <w:rPr>
          <w:sz w:val="20"/>
        </w:rPr>
        <w:t>Fax No.: (212) 407-4990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If to the Purchaser:</w:t>
      </w:r>
    </w:p>
    <w:p>
      <w:pPr>
        <w:pStyle w:val="TextBody"/>
        <w:shd w:fill="FFFFFF" w:val="clear"/>
        <w:bidi w:val="0"/>
        <w:spacing w:before="0" w:after="0"/>
        <w:ind w:left="0" w:right="0" w:hanging="0"/>
        <w:jc w:val="both"/>
        <w:rPr/>
      </w:pPr>
      <w:r>
        <w:rPr/>
        <w:t> </w:t>
      </w:r>
    </w:p>
    <w:p>
      <w:pPr>
        <w:pStyle w:val="TextBody"/>
        <w:bidi w:val="0"/>
        <w:spacing w:before="0" w:after="0"/>
        <w:ind w:left="719" w:right="0" w:hanging="0"/>
        <w:jc w:val="both"/>
        <w:rPr>
          <w:sz w:val="20"/>
        </w:rPr>
      </w:pPr>
      <w:r>
        <w:rPr>
          <w:sz w:val="20"/>
        </w:rPr>
        <w:t>Global Yeh Family Ltd.,</w:t>
      </w:r>
    </w:p>
    <w:p>
      <w:pPr>
        <w:pStyle w:val="TextBody"/>
        <w:bidi w:val="0"/>
        <w:spacing w:before="0" w:after="0"/>
        <w:ind w:left="719" w:right="0" w:hanging="0"/>
        <w:jc w:val="both"/>
        <w:rPr>
          <w:sz w:val="20"/>
        </w:rPr>
      </w:pPr>
      <w:r>
        <w:rPr>
          <w:sz w:val="20"/>
        </w:rPr>
        <w:t>11 F.-3, No. 41, Liansheng St., Zhonghe Dist., New Taipei City 235603, Taiwan (R.O.C.)</w:t>
      </w:r>
    </w:p>
    <w:p>
      <w:pPr>
        <w:pStyle w:val="TextBody"/>
        <w:bidi w:val="0"/>
        <w:spacing w:before="0" w:after="0"/>
        <w:ind w:left="719" w:right="0" w:hanging="0"/>
        <w:jc w:val="both"/>
        <w:rPr>
          <w:sz w:val="20"/>
        </w:rPr>
      </w:pPr>
      <w:r>
        <w:rPr>
          <w:sz w:val="20"/>
        </w:rPr>
        <w:t>Attention: Yeh Hsin Jung</w:t>
      </w:r>
    </w:p>
    <w:p>
      <w:pPr>
        <w:pStyle w:val="TextBody"/>
        <w:bidi w:val="0"/>
        <w:spacing w:before="0" w:after="0"/>
        <w:ind w:left="719" w:right="0" w:hanging="0"/>
        <w:jc w:val="both"/>
        <w:rPr>
          <w:sz w:val="20"/>
        </w:rPr>
      </w:pPr>
      <w:r>
        <w:rPr>
          <w:sz w:val="20"/>
        </w:rPr>
        <w:t>Tel. No.: +85223753733</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or to such other address as any party may specify by notice given to the other party in accordance with this Section 4.</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5. </w:t>
      </w:r>
      <w:r>
        <w:rPr>
          <w:sz w:val="20"/>
          <w:u w:val="single"/>
        </w:rPr>
        <w:t>Amendment</w:t>
      </w:r>
      <w:r>
        <w:rPr>
          <w:sz w:val="20"/>
        </w:rPr>
        <w:t>. This Agreement may not be modified, changed, supplemented, amended or terminated, nor may any obligations hereunder be waived, except by written instrument signed by the parties to be charged or by its agent duly authorized in writing or as otherwise expressly permitted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6. </w:t>
      </w:r>
      <w:r>
        <w:rPr>
          <w:sz w:val="20"/>
          <w:u w:val="single"/>
        </w:rPr>
        <w:t>Entire Agreement</w:t>
      </w:r>
      <w:r>
        <w:rPr>
          <w:sz w:val="20"/>
        </w:rPr>
        <w:t>. This Agreement contains the entire understanding and agreement of the parties relating to the subject matter hereof and supersedes all prior and/or contemporaneous understandings and agreements of any kind and nature (whether written or oral) among the parties with respect to such subject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7. </w:t>
      </w:r>
      <w:r>
        <w:rPr>
          <w:sz w:val="20"/>
          <w:u w:val="single"/>
        </w:rPr>
        <w:t>Governing Law</w:t>
      </w:r>
      <w:r>
        <w:rPr>
          <w:sz w:val="20"/>
        </w:rPr>
        <w:t>.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8. </w:t>
      </w:r>
      <w:r>
        <w:rPr>
          <w:sz w:val="20"/>
          <w:u w:val="single"/>
        </w:rPr>
        <w:t>Severability</w:t>
      </w:r>
      <w:r>
        <w:rPr>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such provision shall be reformed and construed as if such invalid or illegal or unenforceable provision, or part of such provision, had never been contained herein, so that such provisions would be valid, legal and enforceable to the maximum extent possible.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sz w:val="20"/>
        </w:rPr>
      </w:pPr>
      <w:r>
        <w:rPr>
          <w:sz w:val="20"/>
        </w:rPr>
        <w:t>9. </w:t>
      </w:r>
      <w:r>
        <w:rPr>
          <w:sz w:val="20"/>
          <w:u w:val="single"/>
        </w:rPr>
        <w:t>Binding Effect; Assignment</w:t>
      </w:r>
      <w:r>
        <w:rPr>
          <w:sz w:val="20"/>
        </w:rPr>
        <w:t>. This Agreement and the rights and obligations hereunder may not be assigned by the Purchaser hereto without the prior written consent of the Company. This Agreement shall be binding upon and shall inure to the benefit of the parties hereto and their respective successors and permitted assigns.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sz w:val="20"/>
        </w:rPr>
      </w:pPr>
      <w:r>
        <w:rPr>
          <w:sz w:val="20"/>
        </w:rPr>
        <w:t>10. </w:t>
      </w:r>
      <w:r>
        <w:rPr>
          <w:sz w:val="20"/>
          <w:u w:val="single"/>
        </w:rPr>
        <w:t>Headings</w:t>
      </w:r>
      <w:r>
        <w:rPr>
          <w:sz w:val="20"/>
        </w:rPr>
        <w:t>. The section headings contained in this Agreement are inserted for reference purposes only and shall not affect in any way the meaning, construction or interpretation of this Agreement. Any reference to the masculine, feminine, or neuter gender shall be a reference to such other gender as is appropriate. References to the singular shall include the plural and vice versa.</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sz w:val="20"/>
        </w:rPr>
      </w:pPr>
      <w:r>
        <w:rPr>
          <w:sz w:val="20"/>
        </w:rPr>
        <w:t>11. </w:t>
      </w:r>
      <w:r>
        <w:rPr>
          <w:sz w:val="20"/>
          <w:u w:val="single"/>
        </w:rPr>
        <w:t>Counterparts</w:t>
      </w:r>
      <w:r>
        <w:rPr>
          <w:sz w:val="20"/>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center"/>
        <w:rPr>
          <w:sz w:val="20"/>
        </w:rPr>
      </w:pPr>
      <w:r>
        <w:rPr>
          <w:sz w:val="20"/>
        </w:rPr>
        <w:t>[REMAINDER OF PAGE INTENTIONALLY LEFT BLANK]</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IN WITNESS WHEREOF, the parties have executed this Agreement as of the date first written above herein.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tbl>
      <w:tblPr>
        <w:tblW w:w="3904" w:type="dxa"/>
        <w:jc w:val="left"/>
        <w:tblInd w:w="0" w:type="dxa"/>
        <w:tblLayout w:type="fixed"/>
        <w:tblCellMar>
          <w:top w:w="0" w:type="dxa"/>
          <w:left w:w="0" w:type="dxa"/>
          <w:bottom w:w="0" w:type="dxa"/>
          <w:right w:w="0" w:type="dxa"/>
        </w:tblCellMar>
      </w:tblPr>
      <w:tblGrid>
        <w:gridCol w:w="75"/>
        <w:gridCol w:w="466"/>
        <w:gridCol w:w="3363"/>
      </w:tblGrid>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b/>
                <w:sz w:val="20"/>
              </w:rPr>
            </w:pPr>
            <w:r>
              <w:rPr>
                <w:b/>
                <w:sz w:val="20"/>
              </w:rPr>
              <w:t>ZW DATA ACTION TECHNOLOGIES INC.</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sz w:val="20"/>
              </w:rPr>
            </w:pPr>
            <w:r>
              <w:rPr>
                <w:sz w:val="20"/>
              </w:rPr>
              <w:t>By:</w:t>
            </w:r>
          </w:p>
        </w:tc>
        <w:tc>
          <w:tcPr>
            <w:tcW w:w="3363" w:type="dxa"/>
            <w:tcBorders>
              <w:bottom w:val="single" w:sz="8" w:space="0" w:color="000000"/>
            </w:tcBorders>
            <w:tcMar>
              <w:bottom w:w="28" w:type="dxa"/>
            </w:tcMar>
            <w:vAlign w:val="center"/>
          </w:tcPr>
          <w:p>
            <w:pPr>
              <w:pStyle w:val="TableContents"/>
              <w:bidi w:val="0"/>
              <w:spacing w:before="0" w:after="283"/>
              <w:jc w:val="both"/>
              <w:rPr/>
            </w:pPr>
            <w:r>
              <w:rPr/>
              <w:t>/s/ Handong Cheng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Name: Handong Cheng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Title:   Chief   Executive Officer</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b/>
                <w:sz w:val="20"/>
              </w:rPr>
            </w:pPr>
            <w:r>
              <w:rPr>
                <w:b/>
                <w:sz w:val="20"/>
              </w:rPr>
              <w:t>PURCHASER:</w:t>
            </w:r>
          </w:p>
        </w:tc>
      </w:tr>
      <w:tr>
        <w:trPr/>
        <w:tc>
          <w:tcPr>
            <w:tcW w:w="75"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left"/>
              <w:rPr>
                <w:b/>
                <w:sz w:val="20"/>
              </w:rPr>
            </w:pPr>
            <w:r>
              <w:rPr>
                <w:b/>
                <w:sz w:val="20"/>
              </w:rPr>
              <w:t>GLOBAL YEH FAMILY LTD</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By:</w:t>
            </w:r>
          </w:p>
        </w:tc>
        <w:tc>
          <w:tcPr>
            <w:tcW w:w="3363" w:type="dxa"/>
            <w:tcBorders>
              <w:bottom w:val="single" w:sz="8" w:space="0" w:color="000000"/>
            </w:tcBorders>
            <w:tcMar>
              <w:bottom w:w="28" w:type="dxa"/>
            </w:tcMar>
            <w:vAlign w:val="center"/>
          </w:tcPr>
          <w:p>
            <w:pPr>
              <w:pStyle w:val="TableContents"/>
              <w:bidi w:val="0"/>
              <w:spacing w:before="0" w:after="283"/>
              <w:jc w:val="both"/>
              <w:rPr/>
            </w:pPr>
            <w:r>
              <w:rPr/>
              <w:t>/s/ Yeh Hsin Jung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Name: Yeh Hsin Jung</w:t>
            </w:r>
          </w:p>
        </w:tc>
      </w:tr>
      <w:tr>
        <w:trPr/>
        <w:tc>
          <w:tcPr>
            <w:tcW w:w="75" w:type="dxa"/>
            <w:tcBorders/>
            <w:vAlign w:val="center"/>
          </w:tcPr>
          <w:p>
            <w:pPr>
              <w:pStyle w:val="TableContents"/>
              <w:bidi w:val="0"/>
              <w:spacing w:before="0" w:after="283"/>
              <w:jc w:val="both"/>
              <w:rPr/>
            </w:pPr>
            <w:r>
              <w:rPr/>
              <w:t> </w:t>
            </w:r>
          </w:p>
        </w:tc>
        <w:tc>
          <w:tcPr>
            <w:tcW w:w="466" w:type="dxa"/>
            <w:tcBorders/>
            <w:vAlign w:val="center"/>
          </w:tcPr>
          <w:p>
            <w:pPr>
              <w:pStyle w:val="TableContents"/>
              <w:bidi w:val="0"/>
              <w:spacing w:before="0" w:after="283"/>
              <w:jc w:val="both"/>
              <w:rPr/>
            </w:pPr>
            <w:r>
              <w:rPr/>
              <w:t> </w:t>
            </w:r>
          </w:p>
        </w:tc>
        <w:tc>
          <w:tcPr>
            <w:tcW w:w="3363" w:type="dxa"/>
            <w:tcBorders/>
            <w:vAlign w:val="center"/>
          </w:tcPr>
          <w:p>
            <w:pPr>
              <w:pStyle w:val="TableContents"/>
              <w:bidi w:val="0"/>
              <w:spacing w:before="0" w:after="283"/>
              <w:jc w:val="both"/>
              <w:rPr>
                <w:sz w:val="20"/>
              </w:rPr>
            </w:pPr>
            <w:r>
              <w:rPr>
                <w:sz w:val="20"/>
              </w:rPr>
              <w:t>Title:  Director</w:t>
            </w:r>
          </w:p>
        </w:tc>
      </w:tr>
    </w:tbl>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right"/>
        <w:rPr>
          <w:sz w:val="20"/>
        </w:rPr>
      </w:pPr>
      <w:r>
        <w:rPr>
          <w:sz w:val="20"/>
        </w:rPr>
        <w:t>4</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60751</Words>
  <Characters>324879</Characters>
  <CharactersWithSpaces>386613</CharactersWithSpaces>
  <Paragraphs>3141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