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net20250630_10q.htm"/>
      <w:bookmarkStart w:id="1" w:name="kscnet202506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caps w:val="false"/>
          <w:smallCaps w:val="false"/>
          <w:sz w:val="20"/>
          <w:u w:val="single"/>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 to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caps w:val="false"/>
          <w:smallCaps w:val="false"/>
          <w:sz w:val="20"/>
          <w:u w:val="single"/>
        </w:rPr>
        <w:t>001-34647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ZW Data Action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Nevada</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20-4672080</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8/F. 29 Des Voeux Road Central, Central,</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Hong Kong</w:t>
      </w:r>
      <w:r>
        <w:rPr>
          <w:rFonts w:ascii="Times New Roman" w:hAnsi="Times New Roman"/>
          <w:caps w:val="false"/>
          <w:smallCaps w:val="false"/>
          <w:sz w:val="20"/>
        </w:rPr>
        <w:t> </w:t>
      </w:r>
      <w:r>
        <w:rPr>
          <w:rFonts w:ascii="Times New Roman" w:hAnsi="Times New Roman"/>
          <w:b/>
          <w:caps w:val="false"/>
          <w:smallCaps w:val="false"/>
          <w:sz w:val="20"/>
        </w:rPr>
        <w:t>Special Administrative Region of the People</w:t>
      </w:r>
      <w:r>
        <w:rPr>
          <w:rFonts w:ascii="Times New Roman" w:hAnsi="Times New Roman"/>
          <w:caps w:val="false"/>
          <w:smallCaps w:val="false"/>
          <w:sz w:val="20"/>
        </w:rPr>
        <w:t>’</w:t>
      </w:r>
      <w:r>
        <w:rPr>
          <w:rFonts w:ascii="Times New Roman" w:hAnsi="Times New Roman"/>
          <w:b/>
          <w:caps w:val="false"/>
          <w:smallCaps w:val="false"/>
          <w:sz w:val="20"/>
        </w:rPr>
        <w:t>s Republic of China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+852 2669-8078</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$0.001</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CNET</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390"/>
        <w:gridCol w:w="2885"/>
      </w:tblGrid>
      <w:tr>
        <w:trPr/>
        <w:tc>
          <w:tcPr>
            <w:tcW w:w="2390" w:type="dxa"/>
            <w:tcBorders/>
            <w:vAlign w:val="center"/>
          </w:tcPr>
          <w:p>
            <w:pPr>
              <w:pStyle w:val="TableContents"/>
              <w:bidi w:val="0"/>
              <w:spacing w:before="0" w:after="283"/>
              <w:jc w:val="left"/>
              <w:rPr/>
            </w:pPr>
            <w:r>
              <w:rPr/>
              <w:t>Large accelerated filer ☐</w:t>
            </w:r>
          </w:p>
        </w:tc>
        <w:tc>
          <w:tcPr>
            <w:tcW w:w="2885" w:type="dxa"/>
            <w:tcBorders/>
            <w:vAlign w:val="center"/>
          </w:tcPr>
          <w:p>
            <w:pPr>
              <w:pStyle w:val="TableContents"/>
              <w:bidi w:val="0"/>
              <w:spacing w:before="0" w:after="283"/>
              <w:jc w:val="left"/>
              <w:rPr/>
            </w:pPr>
            <w:r>
              <w:rPr/>
              <w:t>Accelerated filer ☐</w:t>
            </w:r>
          </w:p>
        </w:tc>
      </w:tr>
      <w:tr>
        <w:trPr/>
        <w:tc>
          <w:tcPr>
            <w:tcW w:w="2390" w:type="dxa"/>
            <w:tcBorders/>
            <w:vAlign w:val="center"/>
          </w:tcPr>
          <w:p>
            <w:pPr>
              <w:pStyle w:val="TableContents"/>
              <w:bidi w:val="0"/>
              <w:spacing w:before="0" w:after="283"/>
              <w:jc w:val="left"/>
              <w:rPr/>
            </w:pPr>
            <w:r>
              <w:rPr/>
              <w:t>Non-accelerated filer ☒</w:t>
            </w:r>
          </w:p>
        </w:tc>
        <w:tc>
          <w:tcPr>
            <w:tcW w:w="2885" w:type="dxa"/>
            <w:tcBorders/>
            <w:vAlign w:val="center"/>
          </w:tcPr>
          <w:p>
            <w:pPr>
              <w:pStyle w:val="TableContents"/>
              <w:bidi w:val="0"/>
              <w:spacing w:before="0" w:after="283"/>
              <w:jc w:val="left"/>
              <w:rPr/>
            </w:pPr>
            <w:r>
              <w:rPr/>
              <w:t>Smaller reporting company ☒</w:t>
            </w:r>
          </w:p>
        </w:tc>
      </w:tr>
      <w:tr>
        <w:trPr/>
        <w:tc>
          <w:tcPr>
            <w:tcW w:w="23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14, 2025, the registrant had 2,659,629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585"/>
        <w:gridCol w:w="560"/>
      </w:tblGrid>
      <w:tr>
        <w:trPr/>
        <w:tc>
          <w:tcPr>
            <w:tcW w:w="964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645" w:type="dxa"/>
            <w:gridSpan w:val="2"/>
            <w:tcBorders/>
            <w:vAlign w:val="center"/>
          </w:tcPr>
          <w:p>
            <w:pPr>
              <w:pStyle w:val="TableContents"/>
              <w:bidi w:val="0"/>
              <w:spacing w:before="0" w:after="283"/>
              <w:jc w:val="left"/>
              <w:rPr/>
            </w:pPr>
            <w:hyperlink w:anchor="p1">
              <w:r>
                <w:rPr>
                  <w:rStyle w:val="InternetLink"/>
                  <w:b/>
                </w:rPr>
                <w:t>PART I. FINANCIAL INFORMATION</w:t>
              </w:r>
            </w:hyperlink>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Item 1. Interim Financial Statements</w:t>
              </w:r>
            </w:hyperlink>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left"/>
              <w:rPr/>
            </w:pPr>
            <w:hyperlink w:anchor="balancesheets1">
              <w:r>
                <w:rPr>
                  <w:rStyle w:val="InternetLink"/>
                  <w:rFonts w:ascii="Times New Roman" w:hAnsi="Times New Roman"/>
                  <w:caps w:val="false"/>
                  <w:smallCaps w:val="false"/>
                  <w:sz w:val="20"/>
                </w:rPr>
                <w:t>Condensed Consolidated Balance Sheets as of June 30, 2025 (Unaudited) and December 31, 2024</w:t>
              </w:r>
            </w:hyperlink>
          </w:p>
        </w:tc>
        <w:tc>
          <w:tcPr>
            <w:tcW w:w="560" w:type="dxa"/>
            <w:tcBorders/>
            <w:vAlign w:val="center"/>
          </w:tcPr>
          <w:p>
            <w:pPr>
              <w:pStyle w:val="TableContents"/>
              <w:bidi w:val="0"/>
              <w:spacing w:before="0" w:after="0"/>
              <w:ind w:left="0" w:right="0" w:hanging="0"/>
              <w:jc w:val="center"/>
              <w:rPr/>
            </w:pPr>
            <w:hyperlink w:anchor="balancesheets1">
              <w:r>
                <w:rPr>
                  <w:rStyle w:val="InternetLink"/>
                  <w:rFonts w:ascii="Times New Roman" w:hAnsi="Times New Roman"/>
                  <w:caps w:val="false"/>
                  <w:smallCaps w:val="false"/>
                  <w:sz w:val="20"/>
                </w:rPr>
                <w:t>1</w:t>
              </w:r>
            </w:hyperlink>
            <w:r>
              <w:rPr>
                <w:rFonts w:ascii="Times New Roman" w:hAnsi="Times New Roman"/>
                <w:caps w:val="false"/>
                <w:smallCaps w:val="false"/>
                <w:sz w:val="20"/>
              </w:rPr>
              <w:t>-</w:t>
            </w:r>
            <w:hyperlink w:anchor="balancesheets2">
              <w:r>
                <w:rPr>
                  <w:rStyle w:val="InternetLink"/>
                  <w:rFonts w:ascii="Times New Roman" w:hAnsi="Times New Roman"/>
                  <w:caps w:val="false"/>
                  <w:smallCaps w:val="false"/>
                  <w:sz w:val="20"/>
                </w:rPr>
                <w:t>2</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220" w:right="0" w:hanging="220"/>
              <w:jc w:val="left"/>
              <w:rPr/>
            </w:pPr>
            <w:hyperlink w:anchor="loss3">
              <w:r>
                <w:rPr>
                  <w:rStyle w:val="InternetLink"/>
                  <w:rFonts w:ascii="Times New Roman" w:hAnsi="Times New Roman"/>
                  <w:caps w:val="false"/>
                  <w:smallCaps w:val="false"/>
                  <w:sz w:val="20"/>
                </w:rPr>
                <w:t>Condensed Consolidated Statements of Operations and Comprehensive Loss for the Six and Three Months Ended June 30, 2025 and 2024 (Unaudited)</w:t>
              </w:r>
            </w:hyperlink>
          </w:p>
        </w:tc>
        <w:tc>
          <w:tcPr>
            <w:tcW w:w="560" w:type="dxa"/>
            <w:tcBorders/>
            <w:vAlign w:val="center"/>
          </w:tcPr>
          <w:p>
            <w:pPr>
              <w:pStyle w:val="TableContents"/>
              <w:bidi w:val="0"/>
              <w:spacing w:before="0" w:after="0"/>
              <w:ind w:left="0" w:right="0" w:hanging="0"/>
              <w:jc w:val="center"/>
              <w:rPr/>
            </w:pPr>
            <w:hyperlink w:anchor="loss3">
              <w:r>
                <w:rPr>
                  <w:rStyle w:val="InternetLink"/>
                  <w:rFonts w:ascii="Times New Roman" w:hAnsi="Times New Roman"/>
                  <w:caps w:val="false"/>
                  <w:smallCaps w:val="false"/>
                  <w:sz w:val="20"/>
                </w:rPr>
                <w:t>3</w:t>
              </w:r>
            </w:hyperlink>
            <w:r>
              <w:rPr>
                <w:rFonts w:ascii="Times New Roman" w:hAnsi="Times New Roman"/>
                <w:caps w:val="false"/>
                <w:smallCaps w:val="false"/>
                <w:sz w:val="20"/>
              </w:rPr>
              <w:t>-</w:t>
            </w:r>
            <w:hyperlink w:anchor="loss4">
              <w:r>
                <w:rPr>
                  <w:rStyle w:val="InternetLink"/>
                  <w:rFonts w:ascii="Times New Roman" w:hAnsi="Times New Roman"/>
                  <w:caps w:val="false"/>
                  <w:smallCaps w:val="false"/>
                  <w:sz w:val="20"/>
                </w:rPr>
                <w:t>4</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220" w:right="0" w:hanging="220"/>
              <w:jc w:val="left"/>
              <w:rPr/>
            </w:pPr>
            <w:hyperlink w:anchor="cashflows5">
              <w:r>
                <w:rPr>
                  <w:rStyle w:val="InternetLink"/>
                  <w:rFonts w:ascii="Times New Roman" w:hAnsi="Times New Roman"/>
                  <w:caps w:val="false"/>
                  <w:smallCaps w:val="false"/>
                  <w:sz w:val="20"/>
                </w:rPr>
                <w:t>Condensed Consolidated Statements of Cash Flows for the Six Months Ended June 30, 2025 and 2024 (Unaudited)</w:t>
              </w:r>
            </w:hyperlink>
          </w:p>
        </w:tc>
        <w:tc>
          <w:tcPr>
            <w:tcW w:w="560" w:type="dxa"/>
            <w:tcBorders/>
            <w:vAlign w:val="center"/>
          </w:tcPr>
          <w:p>
            <w:pPr>
              <w:pStyle w:val="TableContents"/>
              <w:bidi w:val="0"/>
              <w:spacing w:before="0" w:after="0"/>
              <w:ind w:left="0" w:right="0" w:hanging="0"/>
              <w:jc w:val="center"/>
              <w:rPr/>
            </w:pPr>
            <w:hyperlink w:anchor="cashflows5">
              <w:r>
                <w:rPr>
                  <w:rStyle w:val="InternetLink"/>
                  <w:rFonts w:ascii="Times New Roman" w:hAnsi="Times New Roman"/>
                  <w:caps w:val="false"/>
                  <w:smallCaps w:val="false"/>
                  <w:sz w:val="20"/>
                </w:rPr>
                <w:t>5</w:t>
              </w:r>
            </w:hyperlink>
            <w:r>
              <w:rPr>
                <w:rFonts w:ascii="Times New Roman" w:hAnsi="Times New Roman"/>
                <w:caps w:val="false"/>
                <w:smallCaps w:val="false"/>
                <w:sz w:val="20"/>
              </w:rPr>
              <w:t>-</w:t>
            </w:r>
            <w:hyperlink w:anchor="cashflows6">
              <w:r>
                <w:rPr>
                  <w:rStyle w:val="InternetLink"/>
                  <w:rFonts w:ascii="Times New Roman" w:hAnsi="Times New Roman"/>
                  <w:caps w:val="false"/>
                  <w:smallCaps w:val="false"/>
                  <w:sz w:val="20"/>
                </w:rPr>
                <w:t>6</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220" w:right="0" w:hanging="220"/>
              <w:jc w:val="left"/>
              <w:rPr/>
            </w:pPr>
            <w:hyperlink w:anchor="equity7">
              <w:r>
                <w:rPr>
                  <w:rStyle w:val="InternetLink"/>
                  <w:rFonts w:ascii="Times New Roman" w:hAnsi="Times New Roman"/>
                  <w:caps w:val="false"/>
                  <w:smallCaps w:val="false"/>
                  <w:sz w:val="20"/>
                </w:rPr>
                <w:t>Condensed Consolidated Statements of Changes in Equity for the Six and Three Months Ended June 30, 2025 and 2024 (Unaudited)</w:t>
              </w:r>
            </w:hyperlink>
          </w:p>
        </w:tc>
        <w:tc>
          <w:tcPr>
            <w:tcW w:w="560" w:type="dxa"/>
            <w:tcBorders/>
            <w:vAlign w:val="center"/>
          </w:tcPr>
          <w:p>
            <w:pPr>
              <w:pStyle w:val="TableContents"/>
              <w:bidi w:val="0"/>
              <w:spacing w:before="0" w:after="0"/>
              <w:ind w:left="0" w:right="0" w:hanging="0"/>
              <w:jc w:val="center"/>
              <w:rPr/>
            </w:pPr>
            <w:hyperlink w:anchor="equity7">
              <w:r>
                <w:rPr>
                  <w:rStyle w:val="InternetLink"/>
                  <w:rFonts w:ascii="Times New Roman" w:hAnsi="Times New Roman"/>
                  <w:caps w:val="false"/>
                  <w:smallCaps w:val="false"/>
                  <w:sz w:val="20"/>
                </w:rPr>
                <w:t>7</w:t>
              </w:r>
            </w:hyperlink>
            <w:r>
              <w:rPr>
                <w:rFonts w:ascii="Times New Roman" w:hAnsi="Times New Roman"/>
                <w:caps w:val="false"/>
                <w:smallCaps w:val="false"/>
                <w:sz w:val="20"/>
              </w:rPr>
              <w:t>-</w:t>
            </w:r>
            <w:hyperlink w:anchor="equity8">
              <w:r>
                <w:rPr>
                  <w:rStyle w:val="InternetLink"/>
                  <w:rFonts w:ascii="Times New Roman" w:hAnsi="Times New Roman"/>
                  <w:caps w:val="false"/>
                  <w:smallCaps w:val="false"/>
                  <w:sz w:val="20"/>
                </w:rPr>
                <w:t>8</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left"/>
              <w:rPr/>
            </w:pPr>
            <w:hyperlink w:anchor="notestart">
              <w:r>
                <w:rPr>
                  <w:rStyle w:val="InternetLink"/>
                  <w:rFonts w:ascii="Times New Roman" w:hAnsi="Times New Roman"/>
                  <w:caps w:val="false"/>
                  <w:smallCaps w:val="false"/>
                  <w:sz w:val="20"/>
                </w:rPr>
                <w:t>Notes to Condensed Consolidated Financial Statements (Unaudited)</w:t>
              </w:r>
            </w:hyperlink>
          </w:p>
        </w:tc>
        <w:tc>
          <w:tcPr>
            <w:tcW w:w="560" w:type="dxa"/>
            <w:tcBorders/>
            <w:vAlign w:val="center"/>
          </w:tcPr>
          <w:p>
            <w:pPr>
              <w:pStyle w:val="TableContents"/>
              <w:bidi w:val="0"/>
              <w:spacing w:before="0" w:after="0"/>
              <w:ind w:left="0" w:right="0" w:hanging="0"/>
              <w:jc w:val="center"/>
              <w:rPr/>
            </w:pPr>
            <w:hyperlink w:anchor="notestart">
              <w:r>
                <w:rPr>
                  <w:rStyle w:val="InternetLink"/>
                  <w:rFonts w:ascii="Times New Roman" w:hAnsi="Times New Roman"/>
                  <w:caps w:val="false"/>
                  <w:smallCaps w:val="false"/>
                  <w:sz w:val="20"/>
                </w:rPr>
                <w:t>9</w:t>
              </w:r>
            </w:hyperlink>
            <w:r>
              <w:rPr>
                <w:rFonts w:ascii="Times New Roman" w:hAnsi="Times New Roman"/>
                <w:caps w:val="false"/>
                <w:smallCaps w:val="false"/>
                <w:sz w:val="20"/>
              </w:rPr>
              <w:t>-</w:t>
            </w:r>
            <w:hyperlink w:anchor="notesend">
              <w:r>
                <w:rPr>
                  <w:rStyle w:val="InternetLink"/>
                  <w:rFonts w:ascii="Times New Roman" w:hAnsi="Times New Roman"/>
                  <w:caps w:val="false"/>
                  <w:smallCaps w:val="false"/>
                  <w:sz w:val="20"/>
                </w:rPr>
                <w:t>27</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i2starts">
              <w:r>
                <w:rPr>
                  <w:rStyle w:val="InternetLink"/>
                  <w:rFonts w:ascii="Times New Roman" w:hAnsi="Times New Roman"/>
                  <w:caps w:val="false"/>
                  <w:smallCaps w:val="false"/>
                  <w:sz w:val="20"/>
                </w:rPr>
                <w:t>Item 2. Management’s Discussion and Analysis of Financial Condition and Results of Operations</w:t>
              </w:r>
            </w:hyperlink>
          </w:p>
        </w:tc>
        <w:tc>
          <w:tcPr>
            <w:tcW w:w="560" w:type="dxa"/>
            <w:tcBorders/>
            <w:vAlign w:val="center"/>
          </w:tcPr>
          <w:p>
            <w:pPr>
              <w:pStyle w:val="TableContents"/>
              <w:bidi w:val="0"/>
              <w:spacing w:before="0" w:after="0"/>
              <w:ind w:left="0" w:right="0" w:hanging="0"/>
              <w:jc w:val="center"/>
              <w:rPr/>
            </w:pPr>
            <w:hyperlink w:anchor="i2starts">
              <w:r>
                <w:rPr>
                  <w:rStyle w:val="InternetLink"/>
                  <w:rFonts w:ascii="Times New Roman" w:hAnsi="Times New Roman"/>
                  <w:caps w:val="false"/>
                  <w:smallCaps w:val="false"/>
                  <w:sz w:val="20"/>
                </w:rPr>
                <w:t>28</w:t>
              </w:r>
            </w:hyperlink>
            <w:r>
              <w:rPr>
                <w:rFonts w:ascii="Times New Roman" w:hAnsi="Times New Roman"/>
                <w:caps w:val="false"/>
                <w:smallCaps w:val="false"/>
                <w:sz w:val="20"/>
              </w:rPr>
              <w:t>-</w:t>
            </w:r>
            <w:hyperlink w:anchor="i2ends">
              <w:r>
                <w:rPr>
                  <w:rStyle w:val="InternetLink"/>
                  <w:rFonts w:ascii="Times New Roman" w:hAnsi="Times New Roman"/>
                  <w:caps w:val="false"/>
                  <w:smallCaps w:val="false"/>
                  <w:sz w:val="20"/>
                </w:rPr>
                <w:t>39</w:t>
              </w:r>
            </w:hyperlink>
          </w:p>
        </w:tc>
      </w:tr>
      <w:tr>
        <w:trPr/>
        <w:tc>
          <w:tcPr>
            <w:tcW w:w="9645" w:type="dxa"/>
            <w:gridSpan w:val="2"/>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i3">
              <w:r>
                <w:rPr>
                  <w:rStyle w:val="InternetLink"/>
                  <w:rFonts w:ascii="Times New Roman" w:hAnsi="Times New Roman"/>
                  <w:caps w:val="false"/>
                  <w:smallCaps w:val="false"/>
                  <w:sz w:val="20"/>
                </w:rPr>
                <w:t>Item 3. Quantitative and Qualitative Disclosures About Market Risk</w:t>
              </w:r>
            </w:hyperlink>
          </w:p>
        </w:tc>
        <w:tc>
          <w:tcPr>
            <w:tcW w:w="560" w:type="dxa"/>
            <w:tcBorders/>
            <w:vAlign w:val="center"/>
          </w:tcPr>
          <w:p>
            <w:pPr>
              <w:pStyle w:val="TableContents"/>
              <w:bidi w:val="0"/>
              <w:spacing w:before="0" w:after="0"/>
              <w:ind w:left="0" w:right="0" w:hanging="0"/>
              <w:jc w:val="center"/>
              <w:rPr/>
            </w:pPr>
            <w:hyperlink w:anchor="i3">
              <w:r>
                <w:rPr>
                  <w:rStyle w:val="InternetLink"/>
                  <w:rFonts w:ascii="Times New Roman" w:hAnsi="Times New Roman"/>
                  <w:caps w:val="false"/>
                  <w:smallCaps w:val="false"/>
                  <w:sz w:val="20"/>
                </w:rPr>
                <w:t>39</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Item 4. Controls and Procedures</w:t>
              </w:r>
            </w:hyperlink>
          </w:p>
        </w:tc>
        <w:tc>
          <w:tcPr>
            <w:tcW w:w="560" w:type="dxa"/>
            <w:tcBorders/>
            <w:vAlign w:val="center"/>
          </w:tcPr>
          <w:p>
            <w:pPr>
              <w:pStyle w:val="TableContents"/>
              <w:bidi w:val="0"/>
              <w:spacing w:before="0" w:after="0"/>
              <w:ind w:left="0" w:right="0" w:hanging="0"/>
              <w:jc w:val="center"/>
              <w:rPr/>
            </w:pPr>
            <w:hyperlink w:anchor="i4">
              <w:r>
                <w:rPr>
                  <w:rStyle w:val="InternetLink"/>
                  <w:rFonts w:ascii="Times New Roman" w:hAnsi="Times New Roman"/>
                  <w:caps w:val="false"/>
                  <w:smallCaps w:val="false"/>
                  <w:sz w:val="20"/>
                </w:rPr>
                <w:t>39</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rPr>
                <w:t>PART II. OTHER INFORMATION</w:t>
              </w:r>
            </w:hyperlink>
          </w:p>
        </w:tc>
        <w:tc>
          <w:tcPr>
            <w:tcW w:w="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 Legal Proceedings</w:t>
              </w:r>
            </w:hyperlink>
          </w:p>
        </w:tc>
        <w:tc>
          <w:tcPr>
            <w:tcW w:w="560" w:type="dxa"/>
            <w:tcBorders/>
            <w:vAlign w:val="center"/>
          </w:tcPr>
          <w:p>
            <w:pPr>
              <w:pStyle w:val="TableContents"/>
              <w:bidi w:val="0"/>
              <w:spacing w:before="0" w:after="0"/>
              <w:ind w:left="0" w:right="0" w:hanging="0"/>
              <w:jc w:val="center"/>
              <w:rPr/>
            </w:pPr>
            <w:hyperlink w:anchor="p2i1">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Item 1A. Risk Factors</w:t>
              </w:r>
            </w:hyperlink>
          </w:p>
        </w:tc>
        <w:tc>
          <w:tcPr>
            <w:tcW w:w="560" w:type="dxa"/>
            <w:tcBorders/>
            <w:vAlign w:val="center"/>
          </w:tcPr>
          <w:p>
            <w:pPr>
              <w:pStyle w:val="TableContents"/>
              <w:bidi w:val="0"/>
              <w:spacing w:before="0" w:after="0"/>
              <w:ind w:left="0" w:right="0" w:hanging="0"/>
              <w:jc w:val="center"/>
              <w:rPr/>
            </w:pPr>
            <w:hyperlink w:anchor="p2i1a">
              <w:r>
                <w:rPr>
                  <w:rStyle w:val="InternetLink"/>
                  <w:rFonts w:ascii="Times New Roman" w:hAnsi="Times New Roman"/>
                  <w:caps w:val="false"/>
                  <w:smallCaps w:val="false"/>
                  <w:sz w:val="20"/>
                </w:rPr>
                <w:t>40</w:t>
              </w:r>
            </w:hyperlink>
          </w:p>
        </w:tc>
      </w:tr>
      <w:tr>
        <w:trPr/>
        <w:tc>
          <w:tcPr>
            <w:tcW w:w="9645" w:type="dxa"/>
            <w:gridSpan w:val="2"/>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 Unregistered Sales of Equity Securities and Use of Proceeds</w:t>
              </w:r>
            </w:hyperlink>
          </w:p>
        </w:tc>
        <w:tc>
          <w:tcPr>
            <w:tcW w:w="560" w:type="dxa"/>
            <w:tcBorders/>
            <w:vAlign w:val="center"/>
          </w:tcPr>
          <w:p>
            <w:pPr>
              <w:pStyle w:val="TableContents"/>
              <w:bidi w:val="0"/>
              <w:spacing w:before="0" w:after="0"/>
              <w:ind w:left="0" w:right="0" w:hanging="0"/>
              <w:jc w:val="center"/>
              <w:rPr/>
            </w:pPr>
            <w:hyperlink w:anchor="p2i2">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 Defaults Upon Senior Securities</w:t>
              </w:r>
            </w:hyperlink>
          </w:p>
        </w:tc>
        <w:tc>
          <w:tcPr>
            <w:tcW w:w="560" w:type="dxa"/>
            <w:tcBorders/>
            <w:vAlign w:val="center"/>
          </w:tcPr>
          <w:p>
            <w:pPr>
              <w:pStyle w:val="TableContents"/>
              <w:bidi w:val="0"/>
              <w:spacing w:before="0" w:after="0"/>
              <w:ind w:left="0" w:right="0" w:hanging="0"/>
              <w:jc w:val="center"/>
              <w:rPr/>
            </w:pPr>
            <w:hyperlink w:anchor="p2i3">
              <w:r>
                <w:rPr>
                  <w:rStyle w:val="InternetLink"/>
                  <w:rFonts w:ascii="Times New Roman" w:hAnsi="Times New Roman"/>
                  <w:caps w:val="false"/>
                  <w:smallCaps w:val="false"/>
                  <w:sz w:val="20"/>
                </w:rPr>
                <w:t>40</w:t>
              </w:r>
            </w:hyperlink>
          </w:p>
        </w:tc>
      </w:tr>
      <w:tr>
        <w:trPr/>
        <w:tc>
          <w:tcPr>
            <w:tcW w:w="9645" w:type="dxa"/>
            <w:gridSpan w:val="2"/>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 Mine Safety Disclosures</w:t>
              </w:r>
            </w:hyperlink>
          </w:p>
        </w:tc>
        <w:tc>
          <w:tcPr>
            <w:tcW w:w="560" w:type="dxa"/>
            <w:tcBorders/>
            <w:vAlign w:val="center"/>
          </w:tcPr>
          <w:p>
            <w:pPr>
              <w:pStyle w:val="TableContents"/>
              <w:bidi w:val="0"/>
              <w:spacing w:before="0" w:after="0"/>
              <w:ind w:left="0" w:right="0" w:hanging="0"/>
              <w:jc w:val="center"/>
              <w:rPr/>
            </w:pPr>
            <w:hyperlink w:anchor="p2i4">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 Other Information</w:t>
              </w:r>
            </w:hyperlink>
          </w:p>
        </w:tc>
        <w:tc>
          <w:tcPr>
            <w:tcW w:w="560" w:type="dxa"/>
            <w:tcBorders/>
            <w:vAlign w:val="center"/>
          </w:tcPr>
          <w:p>
            <w:pPr>
              <w:pStyle w:val="TableContents"/>
              <w:bidi w:val="0"/>
              <w:spacing w:before="0" w:after="0"/>
              <w:ind w:left="0" w:right="0" w:hanging="0"/>
              <w:jc w:val="center"/>
              <w:rPr/>
            </w:pPr>
            <w:hyperlink w:anchor="p2i5">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 Exhibits</w:t>
              </w:r>
            </w:hyperlink>
          </w:p>
        </w:tc>
        <w:tc>
          <w:tcPr>
            <w:tcW w:w="560" w:type="dxa"/>
            <w:tcBorders/>
            <w:vAlign w:val="center"/>
          </w:tcPr>
          <w:p>
            <w:pPr>
              <w:pStyle w:val="TableContents"/>
              <w:bidi w:val="0"/>
              <w:spacing w:before="0" w:after="0"/>
              <w:ind w:left="0" w:right="0" w:hanging="0"/>
              <w:jc w:val="center"/>
              <w:rPr/>
            </w:pPr>
            <w:hyperlink w:anchor="p2i6">
              <w:r>
                <w:rPr>
                  <w:rStyle w:val="InternetLink"/>
                  <w:rFonts w:ascii="Times New Roman" w:hAnsi="Times New Roman"/>
                  <w:caps w:val="false"/>
                  <w:smallCaps w:val="false"/>
                  <w:sz w:val="20"/>
                </w:rPr>
                <w:t>41</w:t>
              </w:r>
            </w:hyperlink>
          </w:p>
        </w:tc>
      </w:tr>
      <w:tr>
        <w:trPr/>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gridSpan w:val="2"/>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560" w:type="dxa"/>
            <w:tcBorders/>
            <w:vAlign w:val="center"/>
          </w:tcPr>
          <w:p>
            <w:pPr>
              <w:pStyle w:val="TableContents"/>
              <w:bidi w:val="0"/>
              <w:spacing w:before="0" w:after="0"/>
              <w:ind w:left="0" w:right="0" w:hanging="0"/>
              <w:jc w:val="center"/>
              <w:rPr/>
            </w:pPr>
            <w:hyperlink w:anchor="signatures">
              <w:r>
                <w:rPr>
                  <w:rStyle w:val="InternetLink"/>
                  <w:rFonts w:ascii="Times New Roman" w:hAnsi="Times New Roman"/>
                  <w:caps w:val="false"/>
                  <w:smallCaps w:val="false"/>
                  <w:sz w:val="20"/>
                </w:rPr>
                <w:t>42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bookmarkStart w:id="2" w:name="p1"/>
      <w:bookmarkEnd w:id="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Interim Financial Statements</w:t>
      </w:r>
      <w:bookmarkStart w:id="3" w:name="i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Public Company Accounting Oversight Board (</w:t>
      </w:r>
      <w:r>
        <w:rPr>
          <w:rFonts w:ascii="Times New Roman" w:hAnsi="Times New Roman"/>
          <w:caps w:val="false"/>
          <w:smallCaps w:val="false"/>
          <w:sz w:val="20"/>
        </w:rPr>
        <w:t>“</w:t>
      </w:r>
      <w:r>
        <w:rPr>
          <w:rFonts w:ascii="Times New Roman" w:hAnsi="Times New Roman"/>
          <w:b/>
          <w:caps w:val="false"/>
          <w:smallCaps w:val="false"/>
          <w:sz w:val="20"/>
        </w:rPr>
        <w:t>PCAOB</w:t>
      </w:r>
      <w:r>
        <w:rPr>
          <w:rFonts w:ascii="Times New Roman" w:hAnsi="Times New Roman"/>
          <w:caps w:val="false"/>
          <w:smallCaps w:val="false"/>
          <w:sz w:val="20"/>
        </w:rPr>
        <w:t>”</w:t>
      </w:r>
      <w:r>
        <w:rPr>
          <w:rFonts w:ascii="Times New Roman" w:hAnsi="Times New Roman"/>
          <w:b/>
          <w:caps w:val="false"/>
          <w:smallCaps w:val="false"/>
          <w:sz w:val="20"/>
        </w:rPr>
        <w:t>) had historically been unable to inspect our auditor in relation to their audit work performed for our financial statements and the inability of the PCAOB to conduct inspections over our auditor deprived our investors of the benefits of such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auditor, ARK Pro CPA &amp; Co. (“ARK”),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Our common stock may be delisted and prohibited from trading in the United States under the Holding Foreign Companies Accountable Act, or the HFCAA,</w:t>
      </w:r>
      <w:r>
        <w:rPr>
          <w:rFonts w:ascii="Times New Roman" w:hAnsi="Times New Roman"/>
          <w:caps w:val="false"/>
          <w:smallCaps w:val="false"/>
          <w:sz w:val="20"/>
        </w:rPr>
        <w:t> </w:t>
      </w:r>
      <w:r>
        <w:rPr>
          <w:rFonts w:ascii="Times New Roman" w:hAnsi="Times New Roman"/>
          <w:b/>
          <w:caps w:val="false"/>
          <w:smallCaps w:val="false"/>
          <w:sz w:val="20"/>
        </w:rPr>
        <w:t>as amended by the Accelerating Holding Foreign Companies Accountable Act,</w:t>
      </w:r>
      <w:r>
        <w:rPr>
          <w:rFonts w:ascii="Times New Roman" w:hAnsi="Times New Roman"/>
          <w:caps w:val="false"/>
          <w:smallCaps w:val="false"/>
          <w:sz w:val="20"/>
        </w:rPr>
        <w:t> </w:t>
      </w:r>
      <w:r>
        <w:rPr>
          <w:rFonts w:ascii="Times New Roman" w:hAnsi="Times New Roman"/>
          <w:b/>
          <w:caps w:val="false"/>
          <w:smallCaps w:val="false"/>
          <w:sz w:val="20"/>
        </w:rPr>
        <w:t xml:space="preserve">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2022.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bookmarkStart w:id="4" w:name="balancesheets1"/>
      <w:bookmarkEnd w:id="4"/>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160" w:right="0" w:hanging="0"/>
        <w:jc w:val="center"/>
        <w:rPr>
          <w:caps w:val="false"/>
          <w:smallCaps w:val="false"/>
        </w:rPr>
      </w:pPr>
      <w:r>
        <w:rPr>
          <w:caps w:val="false"/>
          <w:smallCaps w:val="false"/>
        </w:rPr>
        <w:t> </w:t>
      </w:r>
    </w:p>
    <w:tbl>
      <w:tblPr>
        <w:tblW w:w="10168" w:type="dxa"/>
        <w:jc w:val="left"/>
        <w:tblInd w:w="0" w:type="dxa"/>
        <w:tblLayout w:type="fixed"/>
        <w:tblCellMar>
          <w:top w:w="0" w:type="dxa"/>
          <w:left w:w="0" w:type="dxa"/>
          <w:bottom w:w="0" w:type="dxa"/>
          <w:right w:w="0" w:type="dxa"/>
        </w:tblCellMar>
      </w:tblPr>
      <w:tblGrid>
        <w:gridCol w:w="7100"/>
        <w:gridCol w:w="60"/>
        <w:gridCol w:w="242"/>
        <w:gridCol w:w="947"/>
        <w:gridCol w:w="60"/>
        <w:gridCol w:w="60"/>
        <w:gridCol w:w="335"/>
        <w:gridCol w:w="1304"/>
        <w:gridCol w:w="60"/>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 for credit loss of $5,145 and $4,817, respectively</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7,983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investments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3,152</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investors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5,846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ZW DATA ACTION TECHNOLOGIES INC.</w:t>
        <w:br/>
        <w:t>CONDENSED CONSOLIDATED BALANCE SHEETS (CONTINUED)</w:t>
      </w:r>
      <w:bookmarkStart w:id="5" w:name="balancesheets2"/>
      <w:bookmarkEnd w:id="5"/>
      <w:r>
        <w:rPr>
          <w:rFonts w:ascii="Times New Roman" w:hAnsi="Times New Roman"/>
          <w:caps w:val="false"/>
          <w:smallCaps w:val="false"/>
          <w:sz w:val="20"/>
        </w:rPr>
        <w:br/>
        <w:t>(In thousands, except for number of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41"/>
        <w:gridCol w:w="60"/>
        <w:gridCol w:w="191"/>
        <w:gridCol w:w="868"/>
        <w:gridCol w:w="80"/>
        <w:gridCol w:w="60"/>
        <w:gridCol w:w="197"/>
        <w:gridCol w:w="1026"/>
        <w:gridCol w:w="82"/>
      </w:tblGrid>
      <w:tr>
        <w:trPr/>
        <w:tc>
          <w:tcPr>
            <w:tcW w:w="7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2" w:type="dxa"/>
            <w:tcBorders/>
            <w:vAlign w:val="center"/>
          </w:tcPr>
          <w:p>
            <w:pPr>
              <w:pStyle w:val="TableContents"/>
              <w:bidi w:val="0"/>
              <w:spacing w:before="0" w:after="283"/>
              <w:jc w:val="left"/>
              <w:rPr/>
            </w:pPr>
            <w:r>
              <w:rPr/>
              <w:t> </w:t>
            </w:r>
          </w:p>
        </w:tc>
      </w:tr>
      <w:tr>
        <w:trPr/>
        <w:tc>
          <w:tcPr>
            <w:tcW w:w="7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64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liabilities-non current portion</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64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liability-non current portion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borrowing from a related party</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4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5,673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5,968</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4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4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ZW Data Action Technologies Inc.’s stockholders’ equity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4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(US$0.001 par value; authorized 12,500,000 shares; issued and outstanding 2,659,629 shares and 2,301,205 shares at June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2" w:type="dxa"/>
            <w:tcBorders/>
            <w:shd w:fill="CCEEFF" w:val="cle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63,102</w:t>
            </w:r>
          </w:p>
        </w:tc>
        <w:tc>
          <w:tcPr>
            <w:tcW w:w="82" w:type="dxa"/>
            <w:tcBorders/>
            <w:shd w:fill="FFFFFF" w:val="clear"/>
            <w:vAlign w:val="center"/>
          </w:tcPr>
          <w:p>
            <w:pPr>
              <w:pStyle w:val="TableContents"/>
              <w:bidi w:val="0"/>
              <w:spacing w:before="0" w:after="283"/>
              <w:jc w:val="left"/>
              <w:rPr/>
            </w:pPr>
            <w:r>
              <w:rPr/>
              <w:t> </w:t>
            </w:r>
          </w:p>
        </w:tc>
      </w:tr>
      <w:tr>
        <w:trPr/>
        <w:tc>
          <w:tcPr>
            <w:tcW w:w="764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reserves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82" w:type="dxa"/>
            <w:tcBorders/>
            <w:shd w:fill="CCEEFF" w:val="cle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4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3,658</w:t>
            </w:r>
          </w:p>
        </w:tc>
        <w:tc>
          <w:tcPr>
            <w:tcW w:w="82" w:type="dxa"/>
            <w:tcBorders/>
            <w:shd w:fill="FFFFFF" w:val="clear"/>
            <w:vAlign w:val="center"/>
          </w:tcPr>
          <w:p>
            <w:pPr>
              <w:pStyle w:val="TableContents"/>
              <w:bidi w:val="0"/>
              <w:spacing w:before="0" w:after="283"/>
              <w:jc w:val="left"/>
              <w:rPr/>
            </w:pPr>
            <w:r>
              <w:rPr/>
              <w:t> </w:t>
            </w:r>
          </w:p>
        </w:tc>
      </w:tr>
      <w:tr>
        <w:trPr/>
        <w:tc>
          <w:tcPr>
            <w:tcW w:w="764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3,718</w:t>
            </w:r>
          </w:p>
        </w:tc>
        <w:tc>
          <w:tcPr>
            <w:tcW w:w="82" w:type="dxa"/>
            <w:tcBorders/>
            <w:shd w:fill="FFFFFF" w:val="clear"/>
            <w:vAlign w:val="center"/>
          </w:tcPr>
          <w:p>
            <w:pPr>
              <w:pStyle w:val="TableContents"/>
              <w:bidi w:val="0"/>
              <w:spacing w:before="0" w:after="283"/>
              <w:jc w:val="left"/>
              <w:rPr/>
            </w:pPr>
            <w:r>
              <w:rPr/>
              <w:t> </w:t>
            </w:r>
          </w:p>
        </w:tc>
      </w:tr>
      <w:tr>
        <w:trPr/>
        <w:tc>
          <w:tcPr>
            <w:tcW w:w="76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4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9,686</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Liabilities recognized as a result of consolidating these VIEs do not represent additional claims on the Company’s general assets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bookmarkStart w:id="6" w:name="loss3"/>
      <w:bookmarkEnd w:id="6"/>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5"/>
        <w:gridCol w:w="60"/>
        <w:gridCol w:w="194"/>
        <w:gridCol w:w="833"/>
        <w:gridCol w:w="117"/>
        <w:gridCol w:w="88"/>
        <w:gridCol w:w="194"/>
        <w:gridCol w:w="833"/>
        <w:gridCol w:w="80"/>
        <w:gridCol w:w="60"/>
        <w:gridCol w:w="250"/>
        <w:gridCol w:w="777"/>
        <w:gridCol w:w="148"/>
        <w:gridCol w:w="111"/>
        <w:gridCol w:w="250"/>
        <w:gridCol w:w="931"/>
        <w:gridCol w:w="84"/>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5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7" w:type="dxa"/>
            <w:tcBorders>
              <w:bottom w:val="single" w:sz="2" w:space="0" w:color="000000"/>
            </w:tcBorders>
            <w:tcMar>
              <w:bottom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8" w:type="dxa"/>
            <w:tcBorders>
              <w:bottom w:val="single" w:sz="2" w:space="0" w:color="000000"/>
            </w:tcBorders>
            <w:tcMar>
              <w:bottom w:w="28" w:type="dxa"/>
            </w:tcMar>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4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4"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4"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6,420</w:t>
            </w:r>
          </w:p>
        </w:tc>
        <w:tc>
          <w:tcPr>
            <w:tcW w:w="84"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14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6,092</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207</w:t>
            </w:r>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328</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both"/>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both"/>
              <w:rPr/>
            </w:pPr>
            <w:r>
              <w:rPr/>
              <w:t> </w:t>
            </w:r>
          </w:p>
        </w:tc>
        <w:tc>
          <w:tcPr>
            <w:tcW w:w="84"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4"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4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(1,261</w:t>
            </w:r>
          </w:p>
        </w:tc>
        <w:tc>
          <w:tcPr>
            <w:tcW w:w="11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(1,223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(682</w:t>
            </w:r>
          </w:p>
        </w:tc>
        <w:tc>
          <w:tcPr>
            <w:tcW w:w="14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(301</w:t>
            </w:r>
          </w:p>
        </w:tc>
        <w:tc>
          <w:tcPr>
            <w:tcW w:w="8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both"/>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both"/>
              <w:rPr/>
            </w:pPr>
            <w:r>
              <w:rPr/>
              <w:t> </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both"/>
              <w:rPr/>
            </w:pPr>
            <w:r>
              <w:rPr/>
              <w:t> </w:t>
            </w:r>
          </w:p>
        </w:tc>
        <w:tc>
          <w:tcPr>
            <w:tcW w:w="84"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4"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income/(expenses)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4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income tax benefit/(expense) and noncontrolling interests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(1,167</w:t>
            </w:r>
          </w:p>
        </w:tc>
        <w:tc>
          <w:tcPr>
            <w:tcW w:w="11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(638</w:t>
            </w:r>
          </w:p>
        </w:tc>
        <w:tc>
          <w:tcPr>
            <w:tcW w:w="14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(233</w:t>
            </w:r>
          </w:p>
        </w:tc>
        <w:tc>
          <w:tcPr>
            <w:tcW w:w="8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benefit/(expenses)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(1,167</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8" w:type="dxa"/>
            <w:tcBorders/>
            <w:shd w:fill="FFFF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(637</w:t>
            </w:r>
          </w:p>
        </w:tc>
        <w:tc>
          <w:tcPr>
            <w:tcW w:w="14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1" w:type="dxa"/>
            <w:tcBorders/>
            <w:shd w:fill="FFFF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(232</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caps w:val="false"/>
          <w:smallCaps w:val="false"/>
        </w:rPr>
      </w:pPr>
      <w:r>
        <w:rPr>
          <w:rFonts w:ascii="Times New Roman" w:hAnsi="Times New Roman"/>
          <w:b/>
          <w:caps w:val="false"/>
          <w:smallCaps w:val="false"/>
          <w:sz w:val="20"/>
        </w:rPr>
        <w:t>CONDENSED CONSOLIDATED STATEMENTS OF OPERATIONS AND COMPREHENSIVE LOSS</w:t>
      </w:r>
      <w:r>
        <w:rPr>
          <w:rFonts w:ascii="Times New Roman" w:hAnsi="Times New Roman"/>
          <w:caps w:val="false"/>
          <w:smallCaps w:val="false"/>
          <w:sz w:val="20"/>
        </w:rPr>
        <w:t> (</w:t>
      </w:r>
      <w:r>
        <w:rPr>
          <w:rFonts w:ascii="Times New Roman" w:hAnsi="Times New Roman"/>
          <w:b/>
          <w:caps w:val="false"/>
          <w:smallCaps w:val="false"/>
          <w:sz w:val="20"/>
        </w:rPr>
        <w:t>CONTINUED</w:t>
      </w:r>
      <w:r>
        <w:rPr>
          <w:rFonts w:eastAsia="Times New Roman"/>
          <w:caps w:val="false"/>
          <w:smallCaps w:val="false"/>
          <w:sz w:val="20"/>
        </w:rPr>
        <w:t>）</w:t>
      </w:r>
      <w:bookmarkStart w:id="7" w:name="loss4"/>
      <w:bookmarkEnd w:id="7"/>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3"/>
        <w:gridCol w:w="60"/>
        <w:gridCol w:w="136"/>
        <w:gridCol w:w="920"/>
        <w:gridCol w:w="86"/>
        <w:gridCol w:w="65"/>
        <w:gridCol w:w="136"/>
        <w:gridCol w:w="920"/>
        <w:gridCol w:w="80"/>
        <w:gridCol w:w="60"/>
        <w:gridCol w:w="147"/>
        <w:gridCol w:w="1002"/>
        <w:gridCol w:w="94"/>
        <w:gridCol w:w="71"/>
        <w:gridCol w:w="147"/>
        <w:gridCol w:w="1002"/>
        <w:gridCol w:w="86"/>
      </w:tblGrid>
      <w:tr>
        <w:trPr/>
        <w:tc>
          <w:tcPr>
            <w:tcW w:w="5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11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6" w:type="dxa"/>
            <w:tcBorders/>
            <w:vAlign w:val="center"/>
          </w:tcPr>
          <w:p>
            <w:pPr>
              <w:pStyle w:val="TableContents"/>
              <w:bidi w:val="0"/>
              <w:spacing w:before="0" w:after="283"/>
              <w:jc w:val="left"/>
              <w:rPr/>
            </w:pPr>
            <w:r>
              <w:rPr/>
              <w:t> </w:t>
            </w:r>
          </w:p>
        </w:tc>
      </w:tr>
      <w:tr>
        <w:trPr/>
        <w:tc>
          <w:tcPr>
            <w:tcW w:w="5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11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6" w:type="dxa"/>
            <w:tcBorders/>
            <w:vAlign w:val="center"/>
          </w:tcPr>
          <w:p>
            <w:pPr>
              <w:pStyle w:val="TableContents"/>
              <w:bidi w:val="0"/>
              <w:spacing w:before="0" w:after="283"/>
              <w:jc w:val="left"/>
              <w:rPr/>
            </w:pPr>
            <w:r>
              <w:rPr/>
              <w:t> </w:t>
            </w:r>
          </w:p>
        </w:tc>
      </w:tr>
      <w:tr>
        <w:trPr/>
        <w:tc>
          <w:tcPr>
            <w:tcW w:w="5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519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9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attributable to ZW Data Action Technologies Inc.</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19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income/(loss)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9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Loss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9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 attributable to ZW Data action Technologies Inc.</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19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1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19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19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19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2,342,790</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2,383,918</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bookmarkStart w:id="8" w:name="cashflows5"/>
      <w:bookmarkEnd w:id="8"/>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8427" w:type="dxa"/>
        <w:jc w:val="left"/>
        <w:tblInd w:w="0" w:type="dxa"/>
        <w:tblLayout w:type="fixed"/>
        <w:tblCellMar>
          <w:top w:w="0" w:type="dxa"/>
          <w:left w:w="0" w:type="dxa"/>
          <w:bottom w:w="0" w:type="dxa"/>
          <w:right w:w="0" w:type="dxa"/>
        </w:tblCellMar>
      </w:tblPr>
      <w:tblGrid>
        <w:gridCol w:w="5990"/>
        <w:gridCol w:w="60"/>
        <w:gridCol w:w="194"/>
        <w:gridCol w:w="846"/>
        <w:gridCol w:w="124"/>
        <w:gridCol w:w="93"/>
        <w:gridCol w:w="194"/>
        <w:gridCol w:w="846"/>
        <w:gridCol w:w="80"/>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4" w:type="dxa"/>
            <w:tcBorders>
              <w:bottom w:val="single" w:sz="2" w:space="0" w:color="000000"/>
            </w:tcBorders>
            <w:tcMar>
              <w:bottom w:w="28" w:type="dxa"/>
            </w:tcM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both"/>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fixed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allowances for credit losses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income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(299</w:t>
            </w:r>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both"/>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vehicles and office equipment, leasehold improvement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and advance to ownership investee entities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disposal of long-term investments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acquired during the period</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 for other investing contracts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loans and interest income from unrelated parties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intellectual property</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456</w:t>
            </w:r>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(CONTINUED)</w:t>
      </w:r>
      <w:bookmarkStart w:id="9" w:name="cashflows6"/>
      <w:bookmarkEnd w:id="9"/>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7730" w:type="dxa"/>
        <w:jc w:val="left"/>
        <w:tblInd w:w="0" w:type="dxa"/>
        <w:tblLayout w:type="fixed"/>
        <w:tblCellMar>
          <w:top w:w="0" w:type="dxa"/>
          <w:left w:w="0" w:type="dxa"/>
          <w:bottom w:w="0" w:type="dxa"/>
          <w:right w:w="0" w:type="dxa"/>
        </w:tblCellMar>
      </w:tblPr>
      <w:tblGrid>
        <w:gridCol w:w="5225"/>
        <w:gridCol w:w="60"/>
        <w:gridCol w:w="226"/>
        <w:gridCol w:w="878"/>
        <w:gridCol w:w="144"/>
        <w:gridCol w:w="108"/>
        <w:gridCol w:w="242"/>
        <w:gridCol w:w="767"/>
        <w:gridCol w:w="80"/>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4" w:type="dxa"/>
            <w:tcBorders>
              <w:bottom w:val="single" w:sz="2" w:space="0" w:color="000000"/>
            </w:tcBorders>
            <w:tcMar>
              <w:bottom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1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4"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44"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4"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both"/>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contribution from noncontrolling interest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from investors</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750</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fluctuation on cash and cash equivalents</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894</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1,706</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both"/>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paid</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EQUITY</w:t>
      </w:r>
      <w:bookmarkStart w:id="10" w:name="equity7"/>
      <w:bookmarkEnd w:id="10"/>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AND THREE MONTHS ENDED JUNE 30, 2025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w:t>
      </w:r>
    </w:p>
    <w:p>
      <w:pPr>
        <w:pStyle w:val="TextBody"/>
        <w:bidi w:val="0"/>
        <w:spacing w:before="0" w:after="0"/>
        <w:ind w:left="160" w:right="0" w:hanging="0"/>
        <w:jc w:val="left"/>
        <w:rPr>
          <w:caps w:val="false"/>
          <w:smallCaps w:val="false"/>
        </w:rPr>
      </w:pPr>
      <w:r>
        <w:rPr>
          <w:caps w:val="false"/>
          <w:smallCaps w:val="false"/>
        </w:rPr>
        <w:t> </w:t>
      </w:r>
    </w:p>
    <w:tbl>
      <w:tblPr>
        <w:tblW w:w="10215" w:type="dxa"/>
        <w:jc w:val="left"/>
        <w:tblInd w:w="0" w:type="dxa"/>
        <w:tblLayout w:type="fixed"/>
        <w:tblCellMar>
          <w:top w:w="0" w:type="dxa"/>
          <w:left w:w="0" w:type="dxa"/>
          <w:bottom w:w="0" w:type="dxa"/>
          <w:right w:w="0" w:type="dxa"/>
        </w:tblCellMar>
      </w:tblPr>
      <w:tblGrid>
        <w:gridCol w:w="920"/>
        <w:gridCol w:w="60"/>
        <w:gridCol w:w="60"/>
        <w:gridCol w:w="845"/>
        <w:gridCol w:w="60"/>
        <w:gridCol w:w="60"/>
        <w:gridCol w:w="347"/>
        <w:gridCol w:w="348"/>
        <w:gridCol w:w="60"/>
        <w:gridCol w:w="60"/>
        <w:gridCol w:w="160"/>
        <w:gridCol w:w="760"/>
        <w:gridCol w:w="60"/>
        <w:gridCol w:w="60"/>
        <w:gridCol w:w="167"/>
        <w:gridCol w:w="648"/>
        <w:gridCol w:w="60"/>
        <w:gridCol w:w="60"/>
        <w:gridCol w:w="182"/>
        <w:gridCol w:w="948"/>
        <w:gridCol w:w="80"/>
        <w:gridCol w:w="60"/>
        <w:gridCol w:w="265"/>
        <w:gridCol w:w="1030"/>
        <w:gridCol w:w="80"/>
        <w:gridCol w:w="60"/>
        <w:gridCol w:w="482"/>
        <w:gridCol w:w="888"/>
        <w:gridCol w:w="60"/>
        <w:gridCol w:w="60"/>
        <w:gridCol w:w="234"/>
        <w:gridCol w:w="911"/>
        <w:gridCol w:w="80"/>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Statutory reserves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Non-controlling 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March 31,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2,301,205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(63,982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for private placement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June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2,659,629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64,176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(64,619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3,573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**Retrospectively restated for effect of the 1-for-4 reverse stock split effective on September 30, 2024, see Note 4(f).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EQUITY</w:t>
      </w:r>
      <w:bookmarkStart w:id="11" w:name="equity8"/>
      <w:bookmarkEnd w:id="11"/>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AND THREE MONTHS ENDED JUNE 30, 2024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w:t>
      </w:r>
    </w:p>
    <w:p>
      <w:pPr>
        <w:pStyle w:val="TextBody"/>
        <w:bidi w:val="0"/>
        <w:spacing w:before="0" w:after="0"/>
        <w:ind w:left="0" w:right="0" w:hanging="0"/>
        <w:jc w:val="left"/>
        <w:rPr/>
      </w:pPr>
      <w:r>
        <w:rPr/>
        <w:t> </w:t>
      </w:r>
    </w:p>
    <w:tbl>
      <w:tblPr>
        <w:tblW w:w="10575" w:type="dxa"/>
        <w:jc w:val="left"/>
        <w:tblInd w:w="0" w:type="dxa"/>
        <w:tblLayout w:type="fixed"/>
        <w:tblCellMar>
          <w:top w:w="0" w:type="dxa"/>
          <w:left w:w="0" w:type="dxa"/>
          <w:bottom w:w="0" w:type="dxa"/>
          <w:right w:w="0" w:type="dxa"/>
        </w:tblCellMar>
      </w:tblPr>
      <w:tblGrid>
        <w:gridCol w:w="1280"/>
        <w:gridCol w:w="60"/>
        <w:gridCol w:w="60"/>
        <w:gridCol w:w="845"/>
        <w:gridCol w:w="60"/>
        <w:gridCol w:w="60"/>
        <w:gridCol w:w="347"/>
        <w:gridCol w:w="348"/>
        <w:gridCol w:w="60"/>
        <w:gridCol w:w="60"/>
        <w:gridCol w:w="160"/>
        <w:gridCol w:w="760"/>
        <w:gridCol w:w="60"/>
        <w:gridCol w:w="60"/>
        <w:gridCol w:w="167"/>
        <w:gridCol w:w="648"/>
        <w:gridCol w:w="60"/>
        <w:gridCol w:w="60"/>
        <w:gridCol w:w="182"/>
        <w:gridCol w:w="948"/>
        <w:gridCol w:w="80"/>
        <w:gridCol w:w="60"/>
        <w:gridCol w:w="265"/>
        <w:gridCol w:w="1030"/>
        <w:gridCol w:w="60"/>
        <w:gridCol w:w="60"/>
        <w:gridCol w:w="412"/>
        <w:gridCol w:w="958"/>
        <w:gridCol w:w="80"/>
        <w:gridCol w:w="60"/>
        <w:gridCol w:w="234"/>
        <w:gridCol w:w="911"/>
        <w:gridCol w:w="80"/>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Statutory reserves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income/(loss)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Non-controlling 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6,254</w:t>
            </w:r>
          </w:p>
        </w:tc>
        <w:tc>
          <w:tcPr>
            <w:tcW w:w="8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equity interests in an acquired VIE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March 31, 2024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1,926,205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62,072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(60,540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contribution from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June 30, 2024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1,926,205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62,072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(60,756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**Retrospectively restated for effect of the 1-for-4 reverse stock split effective on September 30, 2024, see Note 4(f).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bookmarkStart w:id="12" w:name="notestart"/>
      <w:bookmarkEnd w:id="12"/>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170"/>
        <w:gridCol w:w="332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33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Organization and nature of operations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ZW Data Action Technologies Inc. (the “Company”) was incorporated in the State of Texas in April 2006 and re-domiciled to become a Nevada corporation in October 2006. On June 26, 2009, the Company consummated a share exchange transaction with China Net Online Media Group Limited (the “Share Exchange”), a company organized under the laws of British Virgin Islands (“China Net BVI”). As a result of the Share Exchange, China Net BVI became a wholly owned subsidiary of the Company and the Company is now a holding company, which, through certain contractual arrangements with operating companies in the People’s Republic of China (the “PRC”) and its operating subsidiaries, is engaged in providing Internet advertising, precision marketing, influencer marketing services as well as the related data and technical services to small and medium enterprises (SMEs). The Company also develops blockchain enabled web/mobile applications and provides software solutions, i.e., Software-as-a-Service (“SaaS”) services for clients and engages in intellectual property (“</w:t>
            </w:r>
            <w:r>
              <w:rPr>
                <w:rFonts w:ascii="Times New Roman" w:hAnsi="Times New Roman"/>
                <w:b/>
                <w:caps w:val="false"/>
                <w:smallCaps w:val="false"/>
                <w:sz w:val="20"/>
              </w:rPr>
              <w:t>IP</w:t>
            </w:r>
            <w:r>
              <w:rPr>
                <w:rFonts w:ascii="Times New Roman" w:hAnsi="Times New Roman"/>
                <w:caps w:val="false"/>
                <w:smallCaps w:val="false"/>
                <w:sz w:val="20"/>
              </w:rPr>
              <w:t>”) licensing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170"/>
        <w:gridCol w:w="213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21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Variable interest entities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is not an operating company in China, but a Nevada holding company with no equity ownership in the VIEs. The Company primarily conducts its operations in China through its Hong Kong subsidiaries, mainland China subsidiaries, the VIEs, with which the Company has entered into contractual arrangements, and their subsidiaries in China. Summarized below is the information related to the VIEs’ assets and liabilities reported in the Company’s condensed consolidated balance sheets as of June 30, 2025 and December 31, 2024, respectively:</w:t>
      </w:r>
    </w:p>
    <w:p>
      <w:pPr>
        <w:pStyle w:val="TextBody"/>
        <w:bidi w:val="0"/>
        <w:spacing w:before="0" w:after="0"/>
        <w:ind w:left="0" w:right="0" w:hanging="0"/>
        <w:jc w:val="left"/>
        <w:rPr>
          <w:caps w:val="false"/>
          <w:smallCaps w:val="false"/>
        </w:rPr>
      </w:pPr>
      <w:r>
        <w:rPr>
          <w:caps w:val="false"/>
          <w:smallCaps w:val="false"/>
        </w:rPr>
        <w:t> </w:t>
      </w:r>
    </w:p>
    <w:tbl>
      <w:tblPr>
        <w:tblW w:w="6058" w:type="dxa"/>
        <w:jc w:val="left"/>
        <w:tblInd w:w="0" w:type="dxa"/>
        <w:tblLayout w:type="fixed"/>
        <w:tblCellMar>
          <w:top w:w="0" w:type="dxa"/>
          <w:left w:w="0" w:type="dxa"/>
          <w:bottom w:w="0" w:type="dxa"/>
          <w:right w:w="0" w:type="dxa"/>
        </w:tblCellMar>
      </w:tblPr>
      <w:tblGrid>
        <w:gridCol w:w="2975"/>
        <w:gridCol w:w="60"/>
        <w:gridCol w:w="243"/>
        <w:gridCol w:w="946"/>
        <w:gridCol w:w="60"/>
        <w:gridCol w:w="60"/>
        <w:gridCol w:w="335"/>
        <w:gridCol w:w="1304"/>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1,249</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1,334</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3,663</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3,694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3,663</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Liabilities recognized as a result of consolidating these VIEs do not represent additional claims on the Company’s general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Summarized below is the information related to the financial performance of the VIEs reported in the Company’s condensed consolidated statements of operations and comprehensive loss for the six and three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075"/>
        <w:gridCol w:w="60"/>
        <w:gridCol w:w="365"/>
        <w:gridCol w:w="644"/>
        <w:gridCol w:w="150"/>
        <w:gridCol w:w="112"/>
        <w:gridCol w:w="234"/>
        <w:gridCol w:w="1023"/>
        <w:gridCol w:w="80"/>
        <w:gridCol w:w="60"/>
        <w:gridCol w:w="365"/>
        <w:gridCol w:w="644"/>
        <w:gridCol w:w="165"/>
        <w:gridCol w:w="124"/>
        <w:gridCol w:w="259"/>
        <w:gridCol w:w="1130"/>
        <w:gridCol w:w="95"/>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0"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5" w:type="dxa"/>
            <w:tcBorders>
              <w:bottom w:val="single" w:sz="2" w:space="0" w:color="000000"/>
            </w:tcBorders>
            <w:tcMar>
              <w:bottom w:w="28" w:type="dxa"/>
            </w:tcMar>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ind w:left="0" w:right="0" w:hanging="0"/>
              <w:jc w:val="left"/>
              <w:rPr/>
            </w:pPr>
            <w:r>
              <w:rPr/>
              <w:t> </w:t>
            </w:r>
          </w:p>
        </w:tc>
        <w:tc>
          <w:tcPr>
            <w:tcW w:w="13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5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65"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ind w:left="0" w:right="0" w:hanging="0"/>
              <w:jc w:val="left"/>
              <w:rPr/>
            </w:pPr>
            <w:r>
              <w:rPr/>
              <w:t> </w:t>
            </w:r>
          </w:p>
        </w:tc>
        <w:tc>
          <w:tcPr>
            <w:tcW w:w="13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5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65"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ind w:left="0" w:right="0" w:hanging="0"/>
              <w:jc w:val="left"/>
              <w:rPr/>
            </w:pPr>
            <w:r>
              <w:rPr/>
              <w:t> </w:t>
            </w:r>
          </w:p>
        </w:tc>
        <w:tc>
          <w:tcPr>
            <w:tcW w:w="13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5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w:t>
            </w:r>
          </w:p>
        </w:tc>
        <w:tc>
          <w:tcPr>
            <w:tcW w:w="9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1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4"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4"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1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170"/>
        <w:gridCol w:w="275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incurred operating losses and may continue to incur operating losses, and as a result, to generate negative operating cash flows as the Company implements its future business plan. For the six months ended June 30, 2025, the Company incurred a loss from operations of US$1.26 million and a net operating cash outflow of US$0.30 million. As of June 30, 2025, the Company had cash and cash equivalents of US$1.71 million and working capital of US$2.55 million, compared with approximately US$0.81 million and US$3.33 million as of December 31,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plans to optimize its internet resources cost investment strategy to improve the gross profit margin of its core business and to further strengthen the accounts receivables collection management, and negotiate with major suppliers for more favorable payment terms, all of which will help to substantially increase the cashflows from operations. In addition, to further improve its liquidity, the Company plans to reduce its operating costs through optimizing the personnel structure among different offices, and reduce its office leasing spaces, if needed. In addition, in order to further develop our core business, i.e., our Internet advertising and related data service business, broaden and diversify the online marketing channels for customers, reinforce our industry competitive advantage, we are actively seeking to acquire businesses and build teams with AI capabilities and proprietary intellectual properties that enable more accurate marketing solutions and cost efficient content creation. 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If the Company fails to achieve these goals, the Company may need additional financing to execute its business plan. If additional financing is required, the Company cannot predict whether this additional financing will be in the form of equity, debt, or another form, and the Company may not be able to obtain the necessary additional capital on a timely basis, on acceptable terms, or at all. In the event that financing sources are not available, or that the Company is unsuccessful in increasing its gross profit margin and reducing operating losses, the Company may be unable to implement its current plans for expansion, repay debt obligations or respond to competitive pressures, any of which would have a material adverse effect on the Company’s business, prospects, financial condition and results of operations. These factors raise substantial doubt about the Company's ability to continue as a going concern within one year after the date that the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as of June 30, 2025 have been prepared under the assumption that the Company will continue as a going concern, which contemplates, among other things, the realization of assets and the satisfaction of liabilities in the normal course of business over a reasonable period of time. The Company's ability to continue as a going concern is dependent upon its uncertain ability to increase gross profit margin and reduce operating loss from its core business and/or obtain additional equity and/or debt financing. The accompanying financial statements as of June 30, 2025 do not include any adjustments that might result from the outcome of these uncertainties. If the Company is unable to continue as a going concern, it may have to liquidate its assets and may receive less than the value at which those assets are carried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170"/>
        <w:gridCol w:w="366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3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60"/>
        <w:gridCol w:w="185"/>
        <w:gridCol w:w="182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 </w:t>
            </w:r>
          </w:p>
        </w:tc>
      </w:tr>
    </w:tbl>
    <w:p>
      <w:pPr>
        <w:pStyle w:val="TextBody"/>
        <w:bidi w:val="0"/>
        <w:spacing w:before="0" w:after="0"/>
        <w:ind w:left="560" w:right="0" w:hanging="0"/>
        <w:jc w:val="both"/>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are prepared and presented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information as of June 30, 2025 and for the six and three months ended June 30, 2025 and 2024 have been prepared pursuant to the rules and regulations of the U.S. Securities and Exchange Commission (the “SEC”). Certain information and footnote disclosures, which are normally included in complete consolidated financial statements prepared in accordance with U.S. GAAP, have been omitted pursuant to those rules and regulations. The unaudited condensed consolidated interim financial information should be read in conjunction with the financial statements and the notes thereto, included in the Company’s Annual Report on Form 10-K for the fiscal year ended December 31, 2024, previously filed with the SEC (the “2024 Form 10-K”) on April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In the opinion of management, all adjustments (which include normal recurring adjustments) necessary to present a fair statement of the Company’s condensed consolidated financial position as of June 30, 2025, its condensed consolidated results of operations for the six and three months ended June 30, 2025 and 2024, and its condensed consolidated cash flows for the six months ended June 30, 2025 and 2024, as applicable, have been made. The interim results of operations are not necessarily indicative of the operating results for the full fiscal year or any future periods.</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85"/>
        <w:gridCol w:w="231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23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include the accounts of all the subsidiaries and VIEs of the Company. All transactions and balances between the Company and its subsidiaries and VIEs have been eliminated upon consolidation.</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60"/>
        <w:gridCol w:w="170"/>
        <w:gridCol w:w="1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13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management to make estimates and assumptions that affect the reported amounts of assets and liabilities and the related disclosure of contingent assets and liabilities at the date of these consolidated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 Since the use of estimates is an integral component of the financial reporting process,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85"/>
        <w:gridCol w:w="248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24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translation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exchange rates used to translate amounts in RMB into US$ for the purposes of preparing the condensed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tbl>
      <w:tblPr>
        <w:tblW w:w="8053" w:type="dxa"/>
        <w:jc w:val="left"/>
        <w:tblInd w:w="0" w:type="dxa"/>
        <w:tblLayout w:type="fixed"/>
        <w:tblCellMar>
          <w:top w:w="0" w:type="dxa"/>
          <w:left w:w="0" w:type="dxa"/>
          <w:bottom w:w="0" w:type="dxa"/>
          <w:right w:w="0" w:type="dxa"/>
        </w:tblCellMar>
      </w:tblPr>
      <w:tblGrid>
        <w:gridCol w:w="4970"/>
        <w:gridCol w:w="60"/>
        <w:gridCol w:w="109"/>
        <w:gridCol w:w="1080"/>
        <w:gridCol w:w="60"/>
        <w:gridCol w:w="60"/>
        <w:gridCol w:w="151"/>
        <w:gridCol w:w="1488"/>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sheet items, except for equity accounts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90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90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7.1884</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in the statements of operations and comprehensive loss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7.1051</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in the statements of operations and comprehensive loss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No representation is made that the RMB amounts could have been, or could be converted into US$ at the above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70"/>
        <w:gridCol w:w="2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25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expected credit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allowance for credit losses reflects the Company's current estimate of credit losses expected to be incurred over the life of the related financial assets. The allowance for credit losses is presented as a valuation account that is deducted from the amortized cost basis of financial asset(s) to present the net amount expected to be collected on the financial asset(s).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considers various factors in establishing, monitoring, and adjusting its allowance for credit losses, including the aging and aging trends, customer/other parties’ creditworthiness and specific exposures related to particular customers/other parties. The Company also monitors other risk factors and forward-looking information, such as country specific risks and economic factors that may affect a customer/other party’s ability to pay in establishing and adjusting its allowance for credit losses. The Company assesses collectability by reviewing the financial assets on a collective basis where similar characteristics exist and on an individual basis when the Company identifies specific customers/other parties with known disputes or collectability issues. Accounts receivable and short-term loans to unrelated parties are written off after all collection efforts have ceased.</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movements of the Company’s credit losses for the six and three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8539" w:type="dxa"/>
        <w:jc w:val="left"/>
        <w:tblInd w:w="0" w:type="dxa"/>
        <w:tblLayout w:type="fixed"/>
        <w:tblCellMar>
          <w:top w:w="0" w:type="dxa"/>
          <w:left w:w="0" w:type="dxa"/>
          <w:bottom w:w="0" w:type="dxa"/>
          <w:right w:w="0" w:type="dxa"/>
        </w:tblCellMar>
      </w:tblPr>
      <w:tblGrid>
        <w:gridCol w:w="3410"/>
        <w:gridCol w:w="60"/>
        <w:gridCol w:w="114"/>
        <w:gridCol w:w="921"/>
        <w:gridCol w:w="114"/>
        <w:gridCol w:w="114"/>
        <w:gridCol w:w="114"/>
        <w:gridCol w:w="921"/>
        <w:gridCol w:w="80"/>
        <w:gridCol w:w="60"/>
        <w:gridCol w:w="125"/>
        <w:gridCol w:w="1018"/>
        <w:gridCol w:w="125"/>
        <w:gridCol w:w="125"/>
        <w:gridCol w:w="125"/>
        <w:gridCol w:w="1018"/>
        <w:gridCol w:w="95"/>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4" w:type="dxa"/>
            <w:tcBorders>
              <w:bottom w:val="single" w:sz="2" w:space="0" w:color="000000"/>
            </w:tcBorders>
            <w:tcMar>
              <w:bottom w:w="28" w:type="dxa"/>
            </w:tcMar>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Credit loss for accounts receivable:</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beginning of the period</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4,261</w:t>
            </w:r>
          </w:p>
        </w:tc>
        <w:tc>
          <w:tcPr>
            <w:tcW w:w="9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 during the period</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9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off during the period</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end of the period</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4,657</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tbl>
      <w:tblPr>
        <w:tblW w:w="9499" w:type="dxa"/>
        <w:jc w:val="left"/>
        <w:tblInd w:w="0" w:type="dxa"/>
        <w:tblLayout w:type="fixed"/>
        <w:tblCellMar>
          <w:top w:w="0" w:type="dxa"/>
          <w:left w:w="0" w:type="dxa"/>
          <w:bottom w:w="0" w:type="dxa"/>
          <w:right w:w="0" w:type="dxa"/>
        </w:tblCellMar>
      </w:tblPr>
      <w:tblGrid>
        <w:gridCol w:w="4370"/>
        <w:gridCol w:w="60"/>
        <w:gridCol w:w="114"/>
        <w:gridCol w:w="921"/>
        <w:gridCol w:w="114"/>
        <w:gridCol w:w="114"/>
        <w:gridCol w:w="114"/>
        <w:gridCol w:w="921"/>
        <w:gridCol w:w="80"/>
        <w:gridCol w:w="60"/>
        <w:gridCol w:w="125"/>
        <w:gridCol w:w="1018"/>
        <w:gridCol w:w="125"/>
        <w:gridCol w:w="125"/>
        <w:gridCol w:w="125"/>
        <w:gridCol w:w="1018"/>
        <w:gridCol w:w="9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4" w:type="dxa"/>
            <w:tcBorders>
              <w:bottom w:val="single" w:sz="2" w:space="0" w:color="000000"/>
            </w:tcBorders>
            <w:tcMar>
              <w:bottom w:w="28" w:type="dxa"/>
            </w:tcMar>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Credit loss for other current assets: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beginning of the period</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for/(reverse of) credit loss during the period</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off during the period</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end of the period</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60"/>
        <w:gridCol w:w="140"/>
        <w:gridCol w:w="158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w:t>
            </w:r>
          </w:p>
        </w:tc>
        <w:tc>
          <w:tcPr>
            <w:tcW w:w="15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Reverse stock split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 2024, the Board of Directors of the Company approved a reverse stock split of the Company’s issued and outstanding shares of common stock, par value $0.001 per share (the “Common Stock”) at a ratio of 1-for-4 (the “Reverse Stock Split”). The Reverse Stock Split became effective on September 30, 2024 (the “Effective Date”). As a result, the number of shares of the Company’s authorized Common Stock was reduced from 50,000,000 shares to 12,500,000 shares and the issued and outstanding number of shares of the Common Stock was correspondingly decreased. The Reverse Stock Split has no effect on the par value of the Company’s Common Stock or authorized shares of preferred stock. When the Reverse Stock Split became effective, each four shares of issued and outstanding Common Stock were converted into one newly issued and outstanding share of Common Stock. No fractional shares were issued in connection with the Reverse Stock Split. Any fractional shares of Common Stock that would have otherwise resulted from the Reverse Stock Split were rounded up to the nearest full share. No cash or other consideration was paid in connection with any fractional shares that would otherwise have resulted from the Reverse Stock Split. As a result of the Reverse Stock Split, 8,704,506 shares of Common Stock that were issued and outstanding at September 30, 2024 was reduced to 2,301,205 shares of Common Stock (taking into account the rounding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Except where otherwise specified, all number of shares, number of warrants, share prices, exercise prices and per share data in the consolidated financial statements and notes to the consolidated financial statements have been retroactively restated as if the Reverse Stock Split occurred at the beginning of the periods presented.</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60"/>
        <w:gridCol w:w="185"/>
        <w:gridCol w:w="17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w:t>
            </w:r>
          </w:p>
        </w:tc>
        <w:tc>
          <w:tcPr>
            <w:tcW w:w="17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 the Company’s revenues disaggregated by products and services and timing of revenue recognition: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12"/>
        <w:gridCol w:w="60"/>
        <w:gridCol w:w="214"/>
        <w:gridCol w:w="829"/>
        <w:gridCol w:w="100"/>
        <w:gridCol w:w="100"/>
        <w:gridCol w:w="214"/>
        <w:gridCol w:w="829"/>
        <w:gridCol w:w="60"/>
        <w:gridCol w:w="60"/>
        <w:gridCol w:w="272"/>
        <w:gridCol w:w="734"/>
        <w:gridCol w:w="125"/>
        <w:gridCol w:w="125"/>
        <w:gridCol w:w="266"/>
        <w:gridCol w:w="1024"/>
        <w:gridCol w:w="81"/>
      </w:tblGrid>
      <w:tr>
        <w:trPr/>
        <w:tc>
          <w:tcPr>
            <w:tcW w:w="5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51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w:t>
            </w:r>
          </w:p>
        </w:tc>
        <w:tc>
          <w:tcPr>
            <w:tcW w:w="81" w:type="dxa"/>
            <w:tcBorders/>
            <w:shd w:fill="FFFFFF" w:val="clear"/>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Internet advertising and related data service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51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1" w:type="dxa"/>
            <w:tcBorders/>
            <w:shd w:fill="FFFFFF" w:val="clear"/>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2,200</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9,951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6,420</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42" w:type="dxa"/>
        <w:jc w:val="left"/>
        <w:tblInd w:w="0" w:type="dxa"/>
        <w:tblLayout w:type="fixed"/>
        <w:tblCellMar>
          <w:top w:w="0" w:type="dxa"/>
          <w:left w:w="0" w:type="dxa"/>
          <w:bottom w:w="0" w:type="dxa"/>
          <w:right w:w="0" w:type="dxa"/>
        </w:tblCellMar>
      </w:tblPr>
      <w:tblGrid>
        <w:gridCol w:w="3125"/>
        <w:gridCol w:w="60"/>
        <w:gridCol w:w="214"/>
        <w:gridCol w:w="832"/>
        <w:gridCol w:w="102"/>
        <w:gridCol w:w="102"/>
        <w:gridCol w:w="214"/>
        <w:gridCol w:w="832"/>
        <w:gridCol w:w="60"/>
        <w:gridCol w:w="60"/>
        <w:gridCol w:w="273"/>
        <w:gridCol w:w="736"/>
        <w:gridCol w:w="128"/>
        <w:gridCol w:w="128"/>
        <w:gridCol w:w="266"/>
        <w:gridCol w:w="1035"/>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8" w:type="dxa"/>
            <w:tcBorders>
              <w:bottom w:val="single" w:sz="2" w:space="0" w:color="000000"/>
            </w:tcBorders>
            <w:tcMar>
              <w:bottom w:w="28" w:type="dxa"/>
            </w:tcMar>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0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0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over time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2,200</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9,951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6,420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b/>
          <w:caps w:val="false"/>
          <w:smallCaps w:val="false"/>
          <w:sz w:val="20"/>
        </w:rPr>
      </w:pPr>
      <w:r>
        <w:rPr>
          <w:rFonts w:ascii="Times New Roman" w:hAnsi="Times New Roman"/>
          <w:b/>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summarized the movement of the Company’s contract liabilities for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8369" w:type="dxa"/>
        <w:jc w:val="left"/>
        <w:tblInd w:w="0" w:type="dxa"/>
        <w:tblLayout w:type="fixed"/>
        <w:tblCellMar>
          <w:top w:w="0" w:type="dxa"/>
          <w:left w:w="0" w:type="dxa"/>
          <w:bottom w:w="0" w:type="dxa"/>
          <w:right w:w="0" w:type="dxa"/>
        </w:tblCellMar>
      </w:tblPr>
      <w:tblGrid>
        <w:gridCol w:w="6605"/>
        <w:gridCol w:w="60"/>
        <w:gridCol w:w="242"/>
        <w:gridCol w:w="1367"/>
        <w:gridCol w:w="95"/>
      </w:tblGrid>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 liabilities</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40" w:right="0" w:hanging="0"/>
              <w:jc w:val="left"/>
              <w:rPr/>
            </w:pPr>
            <w:r>
              <w:rPr/>
              <w:t> </w:t>
            </w:r>
          </w:p>
        </w:tc>
        <w:tc>
          <w:tcPr>
            <w:tcW w:w="13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95"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40" w:right="0" w:hanging="0"/>
              <w:jc w:val="left"/>
              <w:rPr/>
            </w:pPr>
            <w:r>
              <w:rPr/>
              <w:t> </w:t>
            </w:r>
          </w:p>
        </w:tc>
        <w:tc>
          <w:tcPr>
            <w:tcW w:w="13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from beginning contract liability balances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40" w:right="0" w:hanging="0"/>
              <w:jc w:val="left"/>
              <w:rPr/>
            </w:pPr>
            <w:r>
              <w:rPr/>
              <w:t> </w:t>
            </w:r>
          </w:p>
        </w:tc>
        <w:tc>
          <w:tcPr>
            <w:tcW w:w="13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received from customers related to unsatisfied performance obligations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3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June 30, 2025 (Unaudited)</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13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675</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Advance from customers related to unsatisfied performance obligations are generally refundable. Refund of advance from customers were insignificant for the six and three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2025 and 2024, there were no revenue recognized from performance obligations that were satisfied in prior periods.</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185"/>
        <w:gridCol w:w="290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w:t>
            </w:r>
          </w:p>
        </w:tc>
        <w:tc>
          <w:tcPr>
            <w:tcW w:w="29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 acquisition of Rahula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Acquisitions that do not meet the definition of a business under ASC 805 are accounted for as an asset acquisition, utilizing a cost accumulation model. Assets acquired and liabilities assumed are recognized at cost, which is the consideration the acquirer transfers to the seller, including direct transaction costs, on the acquisition date. The cost of the acquisition is then allocated to the assets acquired based on their relative fair values. Goodwill is not recognized in an asset acquisition. Direct transaction costs include those third-party costs that can be directly attributable to the asset acquisition and would not have been incurred absent the acquisition transaction.</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Acquisition of Rahula Digital Media (HK) Limited.</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determined this transaction represented an asset acquisition as substantially all of the value was in the intellectual property intangible assets of Rahula Group.</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acquisition method of accounting includes the establishment of a net deferred tax asset or liability resulting from book tax basis differences related to assets acquired and liabilities assumed on the date of acquisition. When an acquisition of a group of assets is purchased in a transaction that is not accounted for as a business combination under ASC 805, “Business Combinations”, a difference between the book and tax bases of the assets arises. ASC 740, “Income Taxes,” requires the use of simultaneous equations to determine the assigned value of the asset and the related deferred tax asset or liability. As goodwill is not recognized in an asset acquisition, recognizing deferred tax assets or liabilities for temporary differences in an asset acquisition results in adjusting the carrying amount of the acquired assets and liabilities.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600" w:right="0" w:hanging="0"/>
        <w:jc w:val="left"/>
        <w:rPr>
          <w:rFonts w:ascii="Times New Roman" w:hAnsi="Times New Roman"/>
          <w:caps w:val="false"/>
          <w:smallCaps w:val="false"/>
          <w:sz w:val="20"/>
        </w:rPr>
      </w:pPr>
      <w:r>
        <w:rPr>
          <w:rFonts w:ascii="Times New Roman" w:hAnsi="Times New Roman"/>
          <w:caps w:val="false"/>
          <w:smallCaps w:val="false"/>
          <w:sz w:val="20"/>
        </w:rPr>
        <w:t>On March 7, 2025, upon the Purchaser’s acquisition of the outstanding common stock of Rahula, the Rahula intangible asset balance recorded on the acquisition date and included in intangible assets was as follows:</w:t>
      </w:r>
    </w:p>
    <w:p>
      <w:pPr>
        <w:pStyle w:val="TextBody"/>
        <w:bidi w:val="0"/>
        <w:spacing w:before="0" w:after="0"/>
        <w:ind w:left="420" w:right="0" w:hanging="0"/>
        <w:jc w:val="left"/>
        <w:rPr>
          <w:caps w:val="false"/>
          <w:smallCaps w:val="false"/>
        </w:rPr>
      </w:pPr>
      <w:r>
        <w:rPr>
          <w:caps w:val="false"/>
          <w:smallCaps w:val="false"/>
        </w:rPr>
        <w:t> </w:t>
      </w:r>
    </w:p>
    <w:tbl>
      <w:tblPr>
        <w:tblW w:w="6974" w:type="dxa"/>
        <w:jc w:val="left"/>
        <w:tblInd w:w="0" w:type="dxa"/>
        <w:tblLayout w:type="fixed"/>
        <w:tblCellMar>
          <w:top w:w="0" w:type="dxa"/>
          <w:left w:w="0" w:type="dxa"/>
          <w:bottom w:w="0" w:type="dxa"/>
          <w:right w:w="0" w:type="dxa"/>
        </w:tblCellMar>
      </w:tblPr>
      <w:tblGrid>
        <w:gridCol w:w="5105"/>
        <w:gridCol w:w="60"/>
        <w:gridCol w:w="223"/>
        <w:gridCol w:w="1491"/>
        <w:gridCol w:w="9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7, 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Rahula Group intangible asset recorded on acquisition date: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acquired (a)</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4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9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 generated from the Rahula asset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 paid</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600</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intangible asset balance will be amortized over the remaining useful life of 3 years as of the March 7, 2025 acquisition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60"/>
        <w:gridCol w:w="140"/>
        <w:gridCol w:w="51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p>
        </w:tc>
        <w:tc>
          <w:tcPr>
            <w:tcW w:w="5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operating lease right-of-use assets and total operating lease liabilities recognized was approximately US$0.07 million and US$0.07 million, respectively.</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Maturity of operating lease liabilities</w:t>
      </w:r>
    </w:p>
    <w:p>
      <w:pPr>
        <w:pStyle w:val="TextBody"/>
        <w:bidi w:val="0"/>
        <w:spacing w:before="0" w:after="0"/>
        <w:ind w:left="0" w:right="0" w:hanging="0"/>
        <w:jc w:val="left"/>
        <w:rPr>
          <w:caps w:val="false"/>
          <w:smallCaps w:val="false"/>
        </w:rPr>
      </w:pPr>
      <w:r>
        <w:rPr>
          <w:caps w:val="false"/>
          <w:smallCaps w:val="false"/>
        </w:rPr>
        <w:t> </w:t>
      </w:r>
    </w:p>
    <w:tbl>
      <w:tblPr>
        <w:tblW w:w="5819" w:type="dxa"/>
        <w:jc w:val="left"/>
        <w:tblInd w:w="0" w:type="dxa"/>
        <w:tblLayout w:type="fixed"/>
        <w:tblCellMar>
          <w:top w:w="0" w:type="dxa"/>
          <w:left w:w="0" w:type="dxa"/>
          <w:bottom w:w="0" w:type="dxa"/>
          <w:right w:w="0" w:type="dxa"/>
        </w:tblCellMar>
      </w:tblPr>
      <w:tblGrid>
        <w:gridCol w:w="4175"/>
        <w:gridCol w:w="60"/>
        <w:gridCol w:w="60"/>
        <w:gridCol w:w="295"/>
        <w:gridCol w:w="1134"/>
        <w:gridCol w:w="9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ending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lease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liabilities-Non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Operating lease expenses:</w:t>
      </w:r>
    </w:p>
    <w:p>
      <w:pPr>
        <w:pStyle w:val="TextBody"/>
        <w:bidi w:val="0"/>
        <w:spacing w:before="0" w:after="0"/>
        <w:ind w:left="0" w:right="0" w:hanging="0"/>
        <w:jc w:val="left"/>
        <w:rPr>
          <w:caps w:val="false"/>
          <w:smallCaps w:val="false"/>
        </w:rPr>
      </w:pPr>
      <w:r>
        <w:rPr>
          <w:caps w:val="false"/>
          <w:smallCaps w:val="false"/>
        </w:rPr>
        <w:t> </w:t>
      </w:r>
    </w:p>
    <w:tbl>
      <w:tblPr>
        <w:tblW w:w="8086" w:type="dxa"/>
        <w:jc w:val="left"/>
        <w:tblInd w:w="0" w:type="dxa"/>
        <w:tblLayout w:type="fixed"/>
        <w:tblCellMar>
          <w:top w:w="0" w:type="dxa"/>
          <w:left w:w="0" w:type="dxa"/>
          <w:bottom w:w="0" w:type="dxa"/>
          <w:right w:w="0" w:type="dxa"/>
        </w:tblCellMar>
      </w:tblPr>
      <w:tblGrid>
        <w:gridCol w:w="2945"/>
        <w:gridCol w:w="60"/>
        <w:gridCol w:w="355"/>
        <w:gridCol w:w="654"/>
        <w:gridCol w:w="166"/>
        <w:gridCol w:w="166"/>
        <w:gridCol w:w="355"/>
        <w:gridCol w:w="654"/>
        <w:gridCol w:w="60"/>
        <w:gridCol w:w="60"/>
        <w:gridCol w:w="382"/>
        <w:gridCol w:w="703"/>
        <w:gridCol w:w="183"/>
        <w:gridCol w:w="183"/>
        <w:gridCol w:w="382"/>
        <w:gridCol w:w="703"/>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6" w:type="dxa"/>
            <w:tcBorders>
              <w:bottom w:val="single" w:sz="2" w:space="0" w:color="000000"/>
            </w:tcBorders>
            <w:tcMar>
              <w:bottom w:w="28"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3" w:type="dxa"/>
            <w:tcBorders>
              <w:bottom w:val="single" w:sz="2" w:space="0" w:color="000000"/>
            </w:tcBorders>
            <w:tcMar>
              <w:bottom w:w="28" w:type="dxa"/>
            </w:tcMar>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contracts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3"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 contracts</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Supplemental information related to operating leases</w:t>
      </w:r>
      <w:r>
        <w:rPr>
          <w:rFonts w:ascii="Times New Roman" w:hAnsi="Times New Roman"/>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tbl>
      <w:tblPr>
        <w:tblW w:w="9059" w:type="dxa"/>
        <w:jc w:val="left"/>
        <w:tblInd w:w="0" w:type="dxa"/>
        <w:tblLayout w:type="fixed"/>
        <w:tblCellMar>
          <w:top w:w="0" w:type="dxa"/>
          <w:left w:w="0" w:type="dxa"/>
          <w:bottom w:w="0" w:type="dxa"/>
          <w:right w:w="0" w:type="dxa"/>
        </w:tblCellMar>
      </w:tblPr>
      <w:tblGrid>
        <w:gridCol w:w="6170"/>
        <w:gridCol w:w="60"/>
        <w:gridCol w:w="336"/>
        <w:gridCol w:w="741"/>
        <w:gridCol w:w="498"/>
        <w:gridCol w:w="161"/>
        <w:gridCol w:w="336"/>
        <w:gridCol w:w="682"/>
        <w:gridCol w:w="75"/>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98" w:type="dxa"/>
            <w:tcBorders>
              <w:bottom w:val="single" w:sz="2" w:space="0" w:color="000000"/>
            </w:tcBorders>
            <w:tcMar>
              <w:bottom w:w="28" w:type="dxa"/>
            </w:tcMar>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49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49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used for operating leases (US$’000)</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49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lease liabilities (US$’000)</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49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49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4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1"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170"/>
        <w:gridCol w:w="206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0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Accounts receivable, net</w:t>
            </w:r>
          </w:p>
        </w:tc>
      </w:tr>
    </w:tbl>
    <w:p>
      <w:pPr>
        <w:pStyle w:val="TextBody"/>
        <w:bidi w:val="0"/>
        <w:spacing w:before="0" w:after="0"/>
        <w:ind w:left="0" w:right="0" w:hanging="0"/>
        <w:jc w:val="left"/>
        <w:rPr>
          <w:caps w:val="false"/>
          <w:smallCaps w:val="false"/>
        </w:rPr>
      </w:pPr>
      <w:r>
        <w:rPr>
          <w:caps w:val="false"/>
          <w:smallCaps w:val="false"/>
        </w:rPr>
        <w:t> </w:t>
      </w:r>
    </w:p>
    <w:tbl>
      <w:tblPr>
        <w:tblW w:w="4523" w:type="dxa"/>
        <w:jc w:val="left"/>
        <w:tblInd w:w="0" w:type="dxa"/>
        <w:tblLayout w:type="fixed"/>
        <w:tblCellMar>
          <w:top w:w="0" w:type="dxa"/>
          <w:left w:w="0" w:type="dxa"/>
          <w:bottom w:w="0" w:type="dxa"/>
          <w:right w:w="0" w:type="dxa"/>
        </w:tblCellMar>
      </w:tblPr>
      <w:tblGrid>
        <w:gridCol w:w="2045"/>
        <w:gridCol w:w="60"/>
        <w:gridCol w:w="99"/>
        <w:gridCol w:w="910"/>
        <w:gridCol w:w="80"/>
        <w:gridCol w:w="60"/>
        <w:gridCol w:w="115"/>
        <w:gridCol w:w="1059"/>
        <w:gridCol w:w="9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6,431</w:t>
            </w:r>
          </w:p>
        </w:tc>
        <w:tc>
          <w:tcPr>
            <w:tcW w:w="9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1,614</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All of the accounts receivable are non-interest bearing. The Company maintains an estimated allowance for credit losses to reduce its accounts receivable to the amount that it believes will be collected. The Company evaluates its accounts receivable on a collective (pool) basis and determines the allowance for credit loss based on aging data, historical collection experience, customer specific facts, current economic conditions and reasonable and supportable forecasts of future economic conditions. For the six and three months ended June 30, 2025, the Company provided approximately US$0.31 million and US$0.30 million credit losses for its accounts receivable, respectively. For the six and three months ended June 30, 2024, the Company provided approximately US$0.69 million and reversed approximately US$0.41 million credit losses for its accounts receivable,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170"/>
        <w:gridCol w:w="315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31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Prepayments and deposit to suppliers</w:t>
            </w:r>
          </w:p>
        </w:tc>
      </w:tr>
    </w:tbl>
    <w:p>
      <w:pPr>
        <w:pStyle w:val="TextBody"/>
        <w:bidi w:val="0"/>
        <w:spacing w:before="0" w:after="0"/>
        <w:ind w:left="0" w:right="0" w:hanging="0"/>
        <w:jc w:val="left"/>
        <w:rPr>
          <w:caps w:val="false"/>
          <w:smallCaps w:val="false"/>
        </w:rPr>
      </w:pPr>
      <w:r>
        <w:rPr>
          <w:caps w:val="false"/>
          <w:smallCaps w:val="false"/>
        </w:rPr>
        <w:t> </w:t>
      </w:r>
    </w:p>
    <w:tbl>
      <w:tblPr>
        <w:tblW w:w="6283" w:type="dxa"/>
        <w:jc w:val="left"/>
        <w:tblInd w:w="0" w:type="dxa"/>
        <w:tblLayout w:type="fixed"/>
        <w:tblCellMar>
          <w:top w:w="0" w:type="dxa"/>
          <w:left w:w="0" w:type="dxa"/>
          <w:bottom w:w="0" w:type="dxa"/>
          <w:right w:w="0" w:type="dxa"/>
        </w:tblCellMar>
      </w:tblPr>
      <w:tblGrid>
        <w:gridCol w:w="3845"/>
        <w:gridCol w:w="60"/>
        <w:gridCol w:w="110"/>
        <w:gridCol w:w="899"/>
        <w:gridCol w:w="60"/>
        <w:gridCol w:w="60"/>
        <w:gridCol w:w="128"/>
        <w:gridCol w:w="1046"/>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to advertising resources providers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to advertising resources providers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2,996</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for investing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deposits and prepayments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4,508</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17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current assets</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110"/>
        <w:gridCol w:w="60"/>
        <w:gridCol w:w="99"/>
        <w:gridCol w:w="910"/>
        <w:gridCol w:w="80"/>
        <w:gridCol w:w="60"/>
        <w:gridCol w:w="115"/>
        <w:gridCol w:w="1059"/>
        <w:gridCol w:w="7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loans to unrelated parties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3,606</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loans interest receivables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Staff advances for business operations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current assets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838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2,239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the Company provided unsecured, interest-bearing short-term loans to two unrelated parties, which were set forth as below. These short-term loans were recorded as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January 5, 2022, the Company provided a short-term working capital loan of US$2.5 million to an unrelated party, which matured on May 5, 2022. The loan was unsecured and borne a fixed annualized interest rate of 7.5%. In April 2022, as agreed by both parties, the unrelated party repaid a portion of the loan principal of US$1.02 million, together with a loan interest of US0.06 million for the period from January 5, 2022 through April 30, 2022, based on the loan principal of US$2.5 million. The Company extended the term of the remaining loan principal of US$1.48 million to April 30, 2023 with a revised fixed annualized interest rate of 5%. In October 2022 and February 2023, the Company received loan interests of US$0.05 million in the aggregate for the period from May 1, 2022 through December 31, 2022. On April 30, 2023, the Company further extended the term of this loan to October 31, 2023. In May 2023, the Company received a loan interest of US$0.02 million for the period from January 1, 2023 through April 30, 2023. In July 2023, the Company received a loan interest of US$0.02 million for the period from May 1, 2023 through July 31, 2023. On October 31, 2023, the Company agreed to further extend the term of this loan to September 30, 2024. On May 29, 2024, the Company received payment of approximately US$0.13 million, of which approximately US$0.06 million settled outstanding interest and approximately US$0.07 million settled the loan principal. On September 30, 2024, the Company agreed to further extend the term of this loan to March 31, 2025. On March 17, 2025, the Company received payment of approximately US$0.35 million, of which approximately US$0.06 million settled outstanding interest and approximately US$0.29 million settled the loan principal. On March 27, 2025, the Company received payment of approximately US$0.21 million, of which approximately US$0.002 settled outstanding interest and approximately US$0.21 million settled the loan principal. On March 31, 2025, the Company agreed to further extend the term of this loan to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January 11, 2023, the Company provided a short-term loan of US$2.0 million to another unrelated party. The loan is unsecured and bears a fixed annualized interest rate of 12%. The original maturity date of this loan was July 17, 2023. On July 1, 2023, the Company extended the term of this loan for a six-month period to January 18, 2024. Subsequently, on January 8, 2024, the Company further agreed to extend the term of the loan to January 18, 2025. And on January 9, 2025, the Company agreed to extend the loan to January 18, 2026. For the year ended December 31, 2024, the Company received payment of US$0.77 million, of which approximately US$0.35 million settled outstanding interest and approximately US$0.42 million settled the loan principal. On January 27, 2025, the Company received payment of approximately US$0.57 million, of which approximately US$0.11 million settled outstanding interest and US$0.46 million settled the loan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evaluates its short-term loans provided to unrelated parties for expected credit losses on a regular basis, and maintains an estimated allowance for credit losses to reduce its short-term loans to the amount that it believes will be collected. The Company evaluates its short-term loans on an individual basis and determines the allowance for credit loss based on creditworthiness of the borrowers, aging information, past transaction history with the borrowers and their current condition, as well as the current economic conditions and reasonable and supportable forecasts of future economic conditions. For the six months ended June 30, 2025 and 2024, the Company provided US$0.38 million and reversed US$0.05 million credit losses on short-term loans provided to unrelated parties,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2024, other current assets also included a US$0.62 million remaining outstanding balance of a short-term loan that the Company provided to an unrelated party, Digital Sun Ventures Limited, a Hong Kong-based company (“Digital Sun”). In March 2021, the Company and Digital Sun reached an oral agreement, pursuant to which the Company provided a short-term loan of US$1.65 million to Digital Sun. The loan has a one-year term. The loan is unsecured, interest free and is required to be repaid in lump sum at maturity by March 2022. The Company provided this unsecured and interest free loan to Digital Sun in consideration of the promises and claims made by Digital Sun’s management that Digital Sun has close connections with international well-known media companies seeking for strategic cooperation partners in China, and Digital Sun will facilitate building strategic business partnerships among the Company and these media companies. As of March 31, 2022, Digital Sun had repaid US$1.03 million of this loan and defaults on the loan balance of US$0.62 million. The Company attempted to collect the outstanding loan balance. In June 2022, the Company fully allowanced the outstanding loan balance of US$0.62 million based on the Company’s assessment of the collectability of this outstanding balance. The Company had engaged a law firm and prepared and sent a legal letter to Digital Sun in March 2023, and the Company intends to take further actions to safeguard its rights against the default, including but not limited to, arranging meetings with the management of Digital Sun to negotiate the repayment plan in person and filing a lawsuit against Digital Sun after all other means of collection have been exhausted. As of the date hereof, the Company has not received any formal responses from Digital Sun.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170"/>
        <w:gridCol w:w="197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investments</w:t>
            </w:r>
          </w:p>
        </w:tc>
      </w:tr>
    </w:tbl>
    <w:p>
      <w:pPr>
        <w:pStyle w:val="TextBody"/>
        <w:bidi w:val="0"/>
        <w:spacing w:before="0" w:after="0"/>
        <w:ind w:left="0" w:right="0" w:hanging="0"/>
        <w:jc w:val="left"/>
        <w:rPr>
          <w:caps w:val="false"/>
          <w:smallCaps w:val="false"/>
        </w:rPr>
      </w:pPr>
      <w:r>
        <w:rPr>
          <w:caps w:val="false"/>
          <w:smallCaps w:val="false"/>
        </w:rPr>
        <w:t> </w:t>
      </w:r>
    </w:p>
    <w:tbl>
      <w:tblPr>
        <w:tblW w:w="4539" w:type="dxa"/>
        <w:jc w:val="left"/>
        <w:tblInd w:w="0" w:type="dxa"/>
        <w:tblLayout w:type="fixed"/>
        <w:tblCellMar>
          <w:top w:w="0" w:type="dxa"/>
          <w:left w:w="0" w:type="dxa"/>
          <w:bottom w:w="0" w:type="dxa"/>
          <w:right w:w="0" w:type="dxa"/>
        </w:tblCellMar>
      </w:tblPr>
      <w:tblGrid>
        <w:gridCol w:w="3545"/>
        <w:gridCol w:w="60"/>
        <w:gridCol w:w="129"/>
        <w:gridCol w:w="730"/>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investments during the year</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Disposed during the year</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losses provided during the year</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June 30, 2025 (Unaudited)</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397</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except for long-term investments which were fully impaired, the Company beneficially owned a 7.69%, 9.9% and 9.9% equity interest in each New Business Holdings Limited (“New Business”), Hunan Yong Fu Xiang Health Management Co., Ltd (“Yong Fu Xiang”) and Wuhan Ju Liang Media Co., Ltd. (“Wuhan Ju Liang”),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measures each investment which does not have readily determinable fair values at cost minus impairment, if any, plus or minus changes resulting from observable price changes in orderly transactions for the identical or a similar investment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the Company provided no impairment loss against its long-term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w:t>
            </w:r>
          </w:p>
        </w:tc>
        <w:tc>
          <w:tcPr>
            <w:tcW w:w="24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tbl>
      <w:tblPr>
        <w:tblW w:w="5078" w:type="dxa"/>
        <w:jc w:val="left"/>
        <w:tblInd w:w="0" w:type="dxa"/>
        <w:tblLayout w:type="fixed"/>
        <w:tblCellMar>
          <w:top w:w="0" w:type="dxa"/>
          <w:left w:w="0" w:type="dxa"/>
          <w:bottom w:w="0" w:type="dxa"/>
          <w:right w:w="0" w:type="dxa"/>
        </w:tblCellMar>
      </w:tblPr>
      <w:tblGrid>
        <w:gridCol w:w="2600"/>
        <w:gridCol w:w="60"/>
        <w:gridCol w:w="99"/>
        <w:gridCol w:w="910"/>
        <w:gridCol w:w="80"/>
        <w:gridCol w:w="60"/>
        <w:gridCol w:w="115"/>
        <w:gridCol w:w="1059"/>
        <w:gridCol w:w="9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Vehicles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4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4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4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devices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4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cost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4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1,838</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expenses for the six months ended June 30, 2025 and 2024 were approximately US$0.02 million and US$0.06 million, respectively. Depreciation expenses for the three months ended June 30, 2025 and 2024 were approximately US$0.01 million and US$0.03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75"/>
        <w:gridCol w:w="1805"/>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18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Intangible assets, net </w:t>
            </w:r>
          </w:p>
        </w:tc>
      </w:tr>
    </w:tbl>
    <w:p>
      <w:pPr>
        <w:pStyle w:val="TextBody"/>
        <w:bidi w:val="0"/>
        <w:spacing w:before="0" w:after="0"/>
        <w:ind w:left="0" w:right="0" w:hanging="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365"/>
        <w:gridCol w:w="60"/>
        <w:gridCol w:w="180"/>
        <w:gridCol w:w="859"/>
        <w:gridCol w:w="60"/>
        <w:gridCol w:w="60"/>
        <w:gridCol w:w="250"/>
        <w:gridCol w:w="1090"/>
        <w:gridCol w:w="80"/>
        <w:gridCol w:w="60"/>
        <w:gridCol w:w="227"/>
        <w:gridCol w:w="993"/>
        <w:gridCol w:w="80"/>
        <w:gridCol w:w="60"/>
        <w:gridCol w:w="282"/>
        <w:gridCol w:w="757"/>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38" w:type="dxa"/>
            <w:gridSpan w:val="14"/>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2025 (Unaudited)</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Items</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--10 </w:t>
            </w:r>
            <w:r>
              <w:rPr>
                <w:rFonts w:ascii="Times New Roman;Times;serif" w:hAnsi="Times New Roman;Times;serif"/>
                <w:i/>
                <w:caps w:val="false"/>
                <w:smallCaps w:val="false"/>
                <w:sz w:val="20"/>
              </w:rPr>
              <w:t>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Cloud compute software technology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Licensed products use right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--5 </w:t>
            </w:r>
            <w:r>
              <w:rPr>
                <w:rFonts w:ascii="Times New Roman;Times;serif" w:hAnsi="Times New Roman;Times;serif"/>
                <w:i/>
                <w:caps w:val="false"/>
                <w:smallCaps w:val="false"/>
                <w:sz w:val="20"/>
              </w:rPr>
              <w:t>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 tracking system</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Live streaming technology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--3 </w:t>
            </w:r>
            <w:r>
              <w:rPr>
                <w:rFonts w:ascii="Times New Roman;Times;serif" w:hAnsi="Times New Roman;Times;serif"/>
                <w:i/>
                <w:caps w:val="false"/>
                <w:smallCaps w:val="false"/>
                <w:sz w:val="20"/>
              </w:rPr>
              <w:t>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Rahula’s Intellectual Property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Integrated Framework</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Bo!News application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computer software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(5,978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635</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365"/>
        <w:gridCol w:w="60"/>
        <w:gridCol w:w="212"/>
        <w:gridCol w:w="827"/>
        <w:gridCol w:w="60"/>
        <w:gridCol w:w="60"/>
        <w:gridCol w:w="250"/>
        <w:gridCol w:w="1090"/>
        <w:gridCol w:w="80"/>
        <w:gridCol w:w="60"/>
        <w:gridCol w:w="227"/>
        <w:gridCol w:w="993"/>
        <w:gridCol w:w="80"/>
        <w:gridCol w:w="60"/>
        <w:gridCol w:w="633"/>
        <w:gridCol w:w="406"/>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38" w:type="dxa"/>
            <w:gridSpan w:val="14"/>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December 31, 2024 </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Items</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xml:space="preserve">10 </w:t>
            </w:r>
            <w:r>
              <w:rPr>
                <w:rFonts w:ascii="Times New Roman;Times;serif" w:hAnsi="Times New Roman;Times;serif"/>
                <w:i/>
                <w:caps w:val="false"/>
                <w:smallCaps w:val="false"/>
                <w:sz w:val="20"/>
              </w:rPr>
              <w:t>years life: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Cloud compute software technology</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Licensed products use right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xml:space="preserve">5 </w:t>
            </w:r>
            <w:r>
              <w:rPr>
                <w:rFonts w:ascii="Times New Roman;Times;serif" w:hAnsi="Times New Roman;Times;serif"/>
                <w:i/>
                <w:caps w:val="false"/>
                <w:smallCaps w:val="false"/>
                <w:sz w:val="20"/>
              </w:rPr>
              <w:t>years life: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 tracking system</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Live streaming technology</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xml:space="preserve">3 </w:t>
            </w:r>
            <w:r>
              <w:rPr>
                <w:rFonts w:ascii="Times New Roman;Times;serif" w:hAnsi="Times New Roman;Times;serif"/>
                <w:i/>
                <w:caps w:val="false"/>
                <w:smallCaps w:val="false"/>
                <w:sz w:val="20"/>
              </w:rPr>
              <w:t>years life: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Integrated Framework</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Bo!News application</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computer software</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9,636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(5,901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4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Amortization expenses for the six months ended June 30, 2025 and 2024 were approximately US$0.07 million and US$0.42 million, respectively. Amortization expenses for the three months ended June 30, 2025 and 2024 were approximately US$0.06 million and US$0.21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Based on the adjusted carrying value of the finite-lived intangible assets after the deduction of the impairment losses, which has a weighted average remaining useful life of 2.7 years as of June 30, 2025, and assuming no further subsequent impairment of the underlying intangible assets, the estimated future amortization expenses is  approximately US$0.12 million for the year ending December 31, 2025, approximately US$0.24 million for the year ending December 31, 2026, approximately US$0.24 million for the year ending December 31, 2027 and approximately US$0.05 million for the year ending December 31,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275"/>
        <w:gridCol w:w="302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w:t>
            </w:r>
          </w:p>
        </w:tc>
        <w:tc>
          <w:tcPr>
            <w:tcW w:w="30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Accrued payroll and other accruals</w:t>
            </w:r>
          </w:p>
        </w:tc>
      </w:tr>
    </w:tbl>
    <w:p>
      <w:pPr>
        <w:pStyle w:val="TextBody"/>
        <w:bidi w:val="0"/>
        <w:spacing w:before="0" w:after="0"/>
        <w:ind w:left="0" w:right="0" w:hanging="0"/>
        <w:jc w:val="left"/>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2705"/>
        <w:gridCol w:w="60"/>
        <w:gridCol w:w="179"/>
        <w:gridCol w:w="830"/>
        <w:gridCol w:w="60"/>
        <w:gridCol w:w="60"/>
        <w:gridCol w:w="177"/>
        <w:gridCol w:w="997"/>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staff welfare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operating expenses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275"/>
        <w:gridCol w:w="80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w:t>
            </w:r>
          </w:p>
        </w:tc>
        <w:tc>
          <w:tcPr>
            <w:tcW w:w="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and December 31, 2024, taxes payable consists of:</w:t>
      </w:r>
    </w:p>
    <w:p>
      <w:pPr>
        <w:pStyle w:val="TextBody"/>
        <w:bidi w:val="0"/>
        <w:spacing w:before="0" w:after="0"/>
        <w:ind w:left="0" w:right="0" w:hanging="0"/>
        <w:jc w:val="left"/>
        <w:rPr>
          <w:caps w:val="false"/>
          <w:smallCaps w:val="false"/>
        </w:rPr>
      </w:pPr>
      <w:r>
        <w:rPr>
          <w:caps w:val="false"/>
          <w:smallCaps w:val="false"/>
        </w:rPr>
        <w:t> </w:t>
      </w:r>
    </w:p>
    <w:tbl>
      <w:tblPr>
        <w:tblW w:w="5383" w:type="dxa"/>
        <w:jc w:val="left"/>
        <w:tblInd w:w="0" w:type="dxa"/>
        <w:tblLayout w:type="fixed"/>
        <w:tblCellMar>
          <w:top w:w="0" w:type="dxa"/>
          <w:left w:w="0" w:type="dxa"/>
          <w:bottom w:w="0" w:type="dxa"/>
          <w:right w:w="0" w:type="dxa"/>
        </w:tblCellMar>
      </w:tblPr>
      <w:tblGrid>
        <w:gridCol w:w="2945"/>
        <w:gridCol w:w="60"/>
        <w:gridCol w:w="110"/>
        <w:gridCol w:w="899"/>
        <w:gridCol w:w="60"/>
        <w:gridCol w:w="60"/>
        <w:gridCol w:w="128"/>
        <w:gridCol w:w="1046"/>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Turnover tax and surcharge payable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Enterprise income tax payable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taxes payable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3,152</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2025 and 2024, the Company’s income tax benefit/(expenses) consisted of:</w:t>
      </w:r>
    </w:p>
    <w:p>
      <w:pPr>
        <w:pStyle w:val="TextBody"/>
        <w:bidi w:val="0"/>
        <w:spacing w:before="0" w:after="0"/>
        <w:ind w:left="0" w:right="0" w:hanging="0"/>
        <w:jc w:val="left"/>
        <w:rPr>
          <w:caps w:val="false"/>
          <w:smallCaps w:val="false"/>
        </w:rPr>
      </w:pPr>
      <w:r>
        <w:rPr>
          <w:caps w:val="false"/>
          <w:smallCaps w:val="false"/>
        </w:rPr>
        <w:t> </w:t>
      </w:r>
    </w:p>
    <w:tbl>
      <w:tblPr>
        <w:tblW w:w="7238" w:type="dxa"/>
        <w:jc w:val="left"/>
        <w:tblInd w:w="0" w:type="dxa"/>
        <w:tblLayout w:type="fixed"/>
        <w:tblCellMar>
          <w:top w:w="0" w:type="dxa"/>
          <w:left w:w="0" w:type="dxa"/>
          <w:bottom w:w="0" w:type="dxa"/>
          <w:right w:w="0" w:type="dxa"/>
        </w:tblCellMar>
      </w:tblPr>
      <w:tblGrid>
        <w:gridCol w:w="1595"/>
        <w:gridCol w:w="60"/>
        <w:gridCol w:w="640"/>
        <w:gridCol w:w="491"/>
        <w:gridCol w:w="307"/>
        <w:gridCol w:w="307"/>
        <w:gridCol w:w="321"/>
        <w:gridCol w:w="688"/>
        <w:gridCol w:w="60"/>
        <w:gridCol w:w="60"/>
        <w:gridCol w:w="326"/>
        <w:gridCol w:w="683"/>
        <w:gridCol w:w="308"/>
        <w:gridCol w:w="308"/>
        <w:gridCol w:w="321"/>
        <w:gridCol w:w="688"/>
        <w:gridCol w:w="7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07" w:type="dxa"/>
            <w:tcBorders>
              <w:bottom w:val="single" w:sz="2" w:space="0" w:color="000000"/>
            </w:tcBorders>
            <w:tcMar>
              <w:bottom w:w="28" w:type="dxa"/>
            </w:tcMar>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08" w:type="dxa"/>
            <w:tcBorders>
              <w:bottom w:val="single" w:sz="2" w:space="0" w:color="000000"/>
            </w:tcBorders>
            <w:tcMar>
              <w:bottom w:w="28" w:type="dxa"/>
            </w:tcMar>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307"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308"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307"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308"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ind w:left="0" w:right="0" w:hanging="0"/>
              <w:jc w:val="left"/>
              <w:rPr/>
            </w:pPr>
            <w:r>
              <w:rPr/>
              <w:t> </w:t>
            </w:r>
          </w:p>
        </w:tc>
        <w:tc>
          <w:tcPr>
            <w:tcW w:w="4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08"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3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Company’s deferred tax assets as of June 30, 2025 and December 31, 2024 were as follows:</w:t>
      </w:r>
    </w:p>
    <w:p>
      <w:pPr>
        <w:pStyle w:val="TextBody"/>
        <w:bidi w:val="0"/>
        <w:spacing w:before="0" w:after="0"/>
        <w:ind w:left="0" w:right="0" w:hanging="0"/>
        <w:jc w:val="left"/>
        <w:rPr>
          <w:caps w:val="false"/>
          <w:smallCaps w:val="false"/>
        </w:rPr>
      </w:pPr>
      <w:r>
        <w:rPr>
          <w:caps w:val="false"/>
          <w:smallCaps w:val="false"/>
        </w:rPr>
        <w:t> </w:t>
      </w:r>
    </w:p>
    <w:tbl>
      <w:tblPr>
        <w:tblW w:w="6443" w:type="dxa"/>
        <w:jc w:val="left"/>
        <w:tblInd w:w="0" w:type="dxa"/>
        <w:tblLayout w:type="fixed"/>
        <w:tblCellMar>
          <w:top w:w="0" w:type="dxa"/>
          <w:left w:w="0" w:type="dxa"/>
          <w:bottom w:w="0" w:type="dxa"/>
          <w:right w:w="0" w:type="dxa"/>
        </w:tblCellMar>
      </w:tblPr>
      <w:tblGrid>
        <w:gridCol w:w="3965"/>
        <w:gridCol w:w="60"/>
        <w:gridCol w:w="85"/>
        <w:gridCol w:w="924"/>
        <w:gridCol w:w="80"/>
        <w:gridCol w:w="60"/>
        <w:gridCol w:w="98"/>
        <w:gridCol w:w="1076"/>
        <w:gridCol w:w="9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net operating losses carried forward</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11,035</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intangible assets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 debts provision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(13,136</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assets, net</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U.S. holding company has incurred aggregate net operating losses (“NOLs”) of approximately US$34.67 million and US$34.18 million as of June 30, 2025 and December 31, 2024, respectively The NOLs carryforwards as of December 31, 2017 gradually expire over time, the last of which expires in 2037. NOLs incurred after December 31, 2017 will no longer be available to carry back but can be carried forward indefinitely, subject to an annual limit of 80% on the amount of taxable income that can be offset by NOLs arising in tax years ending after December 31, 2017. The Company maintains a full valuation allowance against its net U.S. deferred tax assets, since due to uncertainties surrounding future utilization, the Company estimates there will not be sufficient future earnings to utilize its U.S.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NOLs carried forward incurred by the Company’s PRC subsidiaries and VIEs were approximately US$11 million and US$10.87 million as of June 30, 2025 and December 31, 2024, respectively. The losses carryforwards gradually expire over time, the last of which will expire in 2028. The related deferred tax assets were calculated based on the respective NOLs incurred by each of the PRC subsidiaries and VIEs and the respective corresponding enacted tax rate that will be in effect in the period in which the losses are expected to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approximately US$13.39 million and US$13.14 million valuation allowance as of June 30, 2025 and December 31, 2024, respectively, because it is considered more likely than not that a portion of the deferred tax assets will not be realized through sufficient future earnings of the entities to which the operating losses 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2025, the Company recorded approximately US$0.24 million and US$0.13 million deferred tax valuation allowance, respectively. For the six and three months ended June 30, 2024, the Company recorded approximately US$0.30 million and US$0.11 million deferred tax valuation allowance,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275"/>
        <w:gridCol w:w="36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13.</w:t>
            </w:r>
          </w:p>
        </w:tc>
        <w:tc>
          <w:tcPr>
            <w:tcW w:w="36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borrowing from a related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Long-term borrowing from a related party is a non-interest bearing loan from a related parity of the Company relating to the original paid-in capital contribution in the Company’s wholly-owned subsidiary Rise King Century Technology Development (Beijing) Co., Ltd. (“Rise King WFOE”), which is not expected to be repaid within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14.</w:t>
            </w:r>
          </w:p>
        </w:tc>
        <w:tc>
          <w:tcPr>
            <w:tcW w:w="17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net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is a Nevada holding company with operations primarily conducted in China through its PRC subsidiaries, the consolidated VIEs and VIEs’ subsidiaries. The Company’s ability to pay dividends to U.S. investors may depend on receiving distributions from its PRC subsidiaries and settlement of the amounts owed under the VIE agreements from the consolidated VIEs. Any limitation on the ability of the Company’s PRC subsidiaries and the consolidated VIEs to make payments to the Company, or the tax implications of making payments to the Company, could have a material adverse effect on its ability to pay dividends to the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PRC regulations currently permit payment of dividends only out of accumulated profits, as determined in accordance with PRC accounting standards and regulations. The Company’s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the Company’s PRC subsidiaries, the consolidated VIEs and their subsidiaries are restricted in their ability to transfer a portion of their net assets to the Nevada holding company. As of June 30, 2025 and December 31, 2024, net assets restricted in the aggregate, that are included in the Company’s consolidated net assets, were approximately US$13.18 million and US$13.23 million, respectively. Appropriations to the enterprise expansion fund and staff welfare and bonus fund of a foreign-invested PRC entity and appropriation to the discretionary surplus reserve of other PRC entities are at the discretion of the board of directors. To date, none of the Company’s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mainland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The Company owns its PRC subsidiaries through China Net HK. China Net HK currently does not hold a Hong Kong tax resident certificate from the Inland Revenue Department of Hong Kong, there is no assurance that the reduced withholding tax rate will be available for the Company. If China Net HK is not considered to be the “beneficial owner” of the dividends by the Chinese local tax authority, any dividends paid to it by the Company’s PRC subsidiaries would be subject to a withholding tax rate of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There are no restrictions for the consolidated VIEs to settle the amounts owed under the VIE agreements to Rise King WFOE. However, arrangements and transactions among affiliated entities may be subject to audit or challenge by the PRC tax authorities. If at any time the VIE agreements and the related fee structure between the consolidated VIEs and Rise King WFOE is determined to be non-substantive and disallowed by Chinese tax authorities, the consolidated VIEs could, as a matter of last resort, make a non-deductible transfer to Rise King WFOE for the amounts owed under the VIE agreements. This would result in such transfer being non-deductible expenses for the consolidated VIEs but still taxable income for Rise King WFOE. If this happens, it may increase the Company’s tax burden and reduce its after-tax income in the PRC, and may materially and adversely affect its ability to make distributions to the holding company. The Company’s management is of the view that the likelihood that this scenario would happen is remote.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Company’s PRC subsidiaries generate all of their revenue in Renminbi, Renminbi is not freely convertible into other currencies. As a result, any restriction on currency exchange may limit the ability of the Company’s PRC subsidiaries to pay dividends/make distributions to the Company. The Chinese government imposes controls on the convertibility of Renminbi into foreign currencies and, in certain cases, the remittance of currency out of China. Shortages in availability of foreign currency may then restrict the ability of the Company’s PRC subsidiaries to remit sufficient foreign currency to the Nevada holding company for the holding company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the Company’s PRC subsidiaries may purchase foreign currency for settlement of current account transactions, including payment of dividends to the Nevada holding company, without the approval of the State Administration of Foreign Exchange of China (the “SAFE”) by complying with certain procedural requirements. However, the relevant Chinese governmental authorities may limit or eliminate the Company’s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the Company’s ability to utilize revenue generated in Renminbi to pay dividends in foreign currencies to holders of the Company’s securities. Foreign exchange transactions under the capital account remain subject to limitations and require approvals from, or registration with, the SAFE and other relevant Chinese governmental authorities. This could affect the Company’s ability to obtain foreign currency through debt or equity financing for its PRC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To date, none of the Company’s subsidiaries has made any distribution of earnings or issued any dividends to their respective shareholder in or outside of China, or to the Nevada holding company, and the Nevada holding company has never declared or paid any cash dividends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does not have any present plan to make any distribution of earnings/issue any dividends directly or indirectly to its Nevada holding company or pay any cash dividends on its common stock in the foreseeable future, because the Company currently intend to retain most, if not all, of its available funds and any future earnings to operate and expand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w:t>
            </w:r>
          </w:p>
        </w:tc>
        <w:tc>
          <w:tcPr>
            <w:tcW w:w="30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defined contribution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Full time employees of the Company in the PRC participate in a government mandated defined contribution plan, pursuant to which certain pension benefits, medical care, employee housing fund and other welfare benefits are provided to employees. Chinese labor regulations require that the PRC subsidiaries of the Company make contributions to the government for these benefits based on certain percentages of the employees’ salaries. The employee benefits were expensed as incurred. The Company has no legal obligation for the benefits beyond the contributions made. The total amounts for such employee benefits were approximately US$0.03 million and US$0.05 million for the six months ended June 30, 2025 and 2024, respectively. The total amounts for such employee benefits were approximately US$0.01 million and US$0.02 million for the three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w:t>
            </w:r>
          </w:p>
        </w:tc>
        <w:tc>
          <w:tcPr>
            <w:tcW w:w="18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significant concentrations of credit risk consist primarily of cash and cash equivalents, accounts receivable, and deposits and loans to unrelated parties. As of June 30, 2025, 90% of the Company’s cash and cash equivalents were held by major financial institutions located in China, the remaining 10% was held by financial institutions located in the United States of America. The Company believes that these financial institutions located in China and the United States of America are of high credit quality. For accounts receivable and deposits and loans to unrelated parties, the Company extends credit based on an evaluation of the customer’s or other parties’ financial condition, generally without requiring collateral or other security. In order to minimize the credit risk, the Company delegated a team responsible for credit approvals and other monitoring procedures to ensure that follow-up action is taken to recover overdue debts. Further, the Company reviews the recoverable amount of each individual receivable at each balance sheet date to ensure that adequate allowances are made for doubtful accounts. In this regard, the Company considers that the Company’s credit risk for accounts receivable and deposits and loans to unrelated parties are significantly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Concentration of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summarized the information about the Company’s concentration of customers for the six and three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2"/>
        <w:gridCol w:w="60"/>
        <w:gridCol w:w="181"/>
        <w:gridCol w:w="699"/>
        <w:gridCol w:w="185"/>
        <w:gridCol w:w="60"/>
        <w:gridCol w:w="181"/>
        <w:gridCol w:w="699"/>
        <w:gridCol w:w="185"/>
        <w:gridCol w:w="60"/>
        <w:gridCol w:w="181"/>
        <w:gridCol w:w="699"/>
        <w:gridCol w:w="185"/>
        <w:gridCol w:w="60"/>
        <w:gridCol w:w="181"/>
        <w:gridCol w:w="699"/>
        <w:gridCol w:w="185"/>
        <w:gridCol w:w="60"/>
        <w:gridCol w:w="181"/>
        <w:gridCol w:w="699"/>
        <w:gridCol w:w="185"/>
        <w:gridCol w:w="60"/>
        <w:gridCol w:w="181"/>
        <w:gridCol w:w="699"/>
        <w:gridCol w:w="188"/>
      </w:tblGrid>
      <w:tr>
        <w:trPr/>
        <w:tc>
          <w:tcPr>
            <w:tcW w:w="34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Customer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Customer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Customer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Customer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Customer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Customer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188" w:type="dxa"/>
            <w:tcBorders/>
            <w:vAlign w:val="center"/>
          </w:tcPr>
          <w:p>
            <w:pPr>
              <w:pStyle w:val="TableContents"/>
              <w:bidi w:val="0"/>
              <w:spacing w:before="0" w:after="283"/>
              <w:jc w:val="left"/>
              <w:rPr/>
            </w:pPr>
            <w:r>
              <w:rPr/>
              <w:t> </w:t>
            </w:r>
          </w:p>
        </w:tc>
      </w:tr>
      <w:tr>
        <w:trPr/>
        <w:tc>
          <w:tcPr>
            <w:tcW w:w="34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r>
      <w:tr>
        <w:trPr/>
        <w:tc>
          <w:tcPr>
            <w:tcW w:w="345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2025</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r>
      <w:tr>
        <w:trPr/>
        <w:tc>
          <w:tcPr>
            <w:tcW w:w="34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1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1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1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8" w:type="dxa"/>
            <w:tcBorders/>
            <w:shd w:fill="FFFFFF" w:val="clear"/>
            <w:vAlign w:val="center"/>
          </w:tcPr>
          <w:p>
            <w:pPr>
              <w:pStyle w:val="TableContents"/>
              <w:bidi w:val="0"/>
              <w:spacing w:before="0" w:after="283"/>
              <w:jc w:val="left"/>
              <w:rPr/>
            </w:pPr>
            <w:r>
              <w:rPr/>
              <w:t> </w:t>
            </w:r>
          </w:p>
        </w:tc>
      </w:tr>
      <w:tr>
        <w:trPr/>
        <w:tc>
          <w:tcPr>
            <w:tcW w:w="34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r>
      <w:tr>
        <w:trPr/>
        <w:tc>
          <w:tcPr>
            <w:tcW w:w="345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2025</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r>
      <w:tr>
        <w:trPr/>
        <w:tc>
          <w:tcPr>
            <w:tcW w:w="34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86</w:t>
            </w:r>
          </w:p>
        </w:tc>
        <w:tc>
          <w:tcPr>
            <w:tcW w:w="1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1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r>
      <w:tr>
        <w:trPr/>
        <w:tc>
          <w:tcPr>
            <w:tcW w:w="34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r>
      <w:tr>
        <w:trPr/>
        <w:tc>
          <w:tcPr>
            <w:tcW w:w="345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2024</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r>
      <w:tr>
        <w:trPr/>
        <w:tc>
          <w:tcPr>
            <w:tcW w:w="34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8" w:type="dxa"/>
            <w:tcBorders/>
            <w:shd w:fill="FFFFFF" w:val="clear"/>
            <w:vAlign w:val="center"/>
          </w:tcPr>
          <w:p>
            <w:pPr>
              <w:pStyle w:val="TableContents"/>
              <w:bidi w:val="0"/>
              <w:spacing w:before="0" w:after="283"/>
              <w:jc w:val="left"/>
              <w:rPr/>
            </w:pPr>
            <w:r>
              <w:rPr/>
              <w:t> </w:t>
            </w:r>
          </w:p>
        </w:tc>
      </w:tr>
      <w:tr>
        <w:trPr/>
        <w:tc>
          <w:tcPr>
            <w:tcW w:w="34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r>
      <w:tr>
        <w:trPr/>
        <w:tc>
          <w:tcPr>
            <w:tcW w:w="345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2024</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r>
      <w:tr>
        <w:trPr/>
        <w:tc>
          <w:tcPr>
            <w:tcW w:w="34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r>
      <w:tr>
        <w:trPr/>
        <w:tc>
          <w:tcPr>
            <w:tcW w:w="34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r>
      <w:tr>
        <w:trPr/>
        <w:tc>
          <w:tcPr>
            <w:tcW w:w="345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2025</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r>
      <w:tr>
        <w:trPr/>
        <w:tc>
          <w:tcPr>
            <w:tcW w:w="34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customer concentration risk</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ind w:left="0" w:right="0" w:hanging="0"/>
              <w:jc w:val="right"/>
              <w:rPr/>
            </w:pPr>
            <w:r>
              <w:rPr/>
              <w:t> </w:t>
            </w:r>
          </w:p>
        </w:tc>
        <w:tc>
          <w:tcPr>
            <w:tcW w:w="6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right"/>
              <w:rPr/>
            </w:pPr>
            <w:r>
              <w:rPr/>
              <w:t> </w:t>
            </w:r>
          </w:p>
        </w:tc>
        <w:tc>
          <w:tcPr>
            <w:tcW w:w="6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r>
      <w:tr>
        <w:trPr/>
        <w:tc>
          <w:tcPr>
            <w:tcW w:w="345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2024</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699"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r>
      <w:tr>
        <w:trPr/>
        <w:tc>
          <w:tcPr>
            <w:tcW w:w="34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customer concentration risk</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1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ind w:left="0" w:right="0" w:hanging="0"/>
              <w:jc w:val="right"/>
              <w:rPr/>
            </w:pPr>
            <w:r>
              <w:rPr/>
              <w:t> </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No transaction incurred for the reporting period/no balance existed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Concentration of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information about the Company’s concentration of suppliers for the six and three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9809" w:type="dxa"/>
        <w:jc w:val="left"/>
        <w:tblInd w:w="0" w:type="dxa"/>
        <w:tblLayout w:type="fixed"/>
        <w:tblCellMar>
          <w:top w:w="0" w:type="dxa"/>
          <w:left w:w="0" w:type="dxa"/>
          <w:bottom w:w="0" w:type="dxa"/>
          <w:right w:w="0" w:type="dxa"/>
        </w:tblCellMar>
      </w:tblPr>
      <w:tblGrid>
        <w:gridCol w:w="3635"/>
        <w:gridCol w:w="60"/>
        <w:gridCol w:w="162"/>
        <w:gridCol w:w="622"/>
        <w:gridCol w:w="185"/>
        <w:gridCol w:w="60"/>
        <w:gridCol w:w="162"/>
        <w:gridCol w:w="622"/>
        <w:gridCol w:w="185"/>
        <w:gridCol w:w="60"/>
        <w:gridCol w:w="162"/>
        <w:gridCol w:w="622"/>
        <w:gridCol w:w="185"/>
        <w:gridCol w:w="60"/>
        <w:gridCol w:w="162"/>
        <w:gridCol w:w="622"/>
        <w:gridCol w:w="185"/>
        <w:gridCol w:w="60"/>
        <w:gridCol w:w="162"/>
        <w:gridCol w:w="622"/>
        <w:gridCol w:w="185"/>
        <w:gridCol w:w="60"/>
        <w:gridCol w:w="162"/>
        <w:gridCol w:w="622"/>
        <w:gridCol w:w="18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Supplier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Supplier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Supplier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Supplier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Supplier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Supplier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18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2025</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1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1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1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2025</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c>
          <w:tcPr>
            <w:tcW w:w="1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2024</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1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1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0"/>
              <w:jc w:val="right"/>
              <w:rPr/>
            </w:pPr>
            <w:r>
              <w:rPr/>
              <w:t> </w:t>
            </w:r>
          </w:p>
        </w:tc>
        <w:tc>
          <w:tcPr>
            <w:tcW w:w="62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right"/>
              <w:rPr/>
            </w:pPr>
            <w:r>
              <w:rPr/>
              <w:t> </w:t>
            </w:r>
          </w:p>
        </w:tc>
        <w:tc>
          <w:tcPr>
            <w:tcW w:w="62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2024</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c>
          <w:tcPr>
            <w:tcW w:w="1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1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0"/>
              <w:jc w:val="righ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No transaction incurred for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275"/>
        <w:gridCol w:w="27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 June 2023, the Company obtained a 9.9% equity interest in Wuhan Ju Liang, through subscription of a RMB0.99 million (approximately US$0.14 million) registered capital of the entity in cash, which amount was committed to be paid up before August 1, 2052.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may from time to time become a party to various legal or administrative proceedings arising in its ordinary course of business. The Company evaluates the status of each legal matter and assesses the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As of the date hereof, based on the information currently available, the Company believes that the loss contingencies that may arise as a result of currently pending legal proceedings are not reasonably likely to have a material adverse effect on the Company’s business, results of operations,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275"/>
        <w:gridCol w:w="1595"/>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w:t>
            </w:r>
          </w:p>
        </w:tc>
        <w:tc>
          <w:tcPr>
            <w:tcW w:w="1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follows ASC Topic 280 “Segment Reporting”, which requires that companies disclose segment data based on how management makes decisions about allocating resources to segments and evaluating their performance. Reportable operating segments include components of an entity about which separate financial information is available and which operating results are regularly reviewed by the chief operating decision maker (“CODM”), the Company’s Chief Executive Officer, to make decisions about resources to be allocated to the segment and assess each operating segment’s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 2025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0"/>
        <w:gridCol w:w="60"/>
        <w:gridCol w:w="100"/>
        <w:gridCol w:w="818"/>
        <w:gridCol w:w="80"/>
        <w:gridCol w:w="60"/>
        <w:gridCol w:w="114"/>
        <w:gridCol w:w="644"/>
        <w:gridCol w:w="60"/>
        <w:gridCol w:w="60"/>
        <w:gridCol w:w="190"/>
        <w:gridCol w:w="1070"/>
        <w:gridCol w:w="60"/>
        <w:gridCol w:w="60"/>
        <w:gridCol w:w="76"/>
        <w:gridCol w:w="754"/>
        <w:gridCol w:w="80"/>
        <w:gridCol w:w="60"/>
        <w:gridCol w:w="139"/>
        <w:gridCol w:w="1515"/>
        <w:gridCol w:w="80"/>
        <w:gridCol w:w="60"/>
        <w:gridCol w:w="60"/>
        <w:gridCol w:w="545"/>
        <w:gridCol w:w="100"/>
      </w:tblGrid>
      <w:tr>
        <w:trPr/>
        <w:tc>
          <w:tcPr>
            <w:tcW w:w="3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100" w:type="dxa"/>
            <w:tcBorders/>
            <w:vAlign w:val="center"/>
          </w:tcPr>
          <w:p>
            <w:pPr>
              <w:pStyle w:val="TableContents"/>
              <w:bidi w:val="0"/>
              <w:spacing w:before="0" w:after="283"/>
              <w:jc w:val="left"/>
              <w:rPr/>
            </w:pPr>
            <w:r>
              <w:rPr/>
              <w:t> </w:t>
            </w:r>
          </w:p>
        </w:tc>
      </w:tr>
      <w:tr>
        <w:trPr/>
        <w:tc>
          <w:tcPr>
            <w:tcW w:w="3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100" w:type="dxa"/>
            <w:tcBorders/>
            <w:shd w:fill="CCEEFF" w:val="clear"/>
            <w:vAlign w:val="center"/>
          </w:tcPr>
          <w:p>
            <w:pPr>
              <w:pStyle w:val="TableContents"/>
              <w:bidi w:val="0"/>
              <w:spacing w:before="0" w:after="283"/>
              <w:jc w:val="left"/>
              <w:rPr/>
            </w:pPr>
            <w:r>
              <w:rPr/>
              <w:t> </w:t>
            </w:r>
          </w:p>
        </w:tc>
      </w:tr>
      <w:tr>
        <w:trPr/>
        <w:tc>
          <w:tcPr>
            <w:tcW w:w="3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5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100" w:type="dxa"/>
            <w:tcBorders/>
            <w:shd w:fill="FFFFFF" w:val="clear"/>
            <w:vAlign w:val="center"/>
          </w:tcPr>
          <w:p>
            <w:pPr>
              <w:pStyle w:val="TableContents"/>
              <w:bidi w:val="0"/>
              <w:spacing w:before="0" w:after="283"/>
              <w:jc w:val="left"/>
              <w:rPr/>
            </w:pPr>
            <w:r>
              <w:rPr/>
              <w:t> </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100" w:type="dxa"/>
            <w:tcBorders/>
            <w:shd w:fill="CCEEFF" w:val="clear"/>
            <w:vAlign w:val="center"/>
          </w:tcPr>
          <w:p>
            <w:pPr>
              <w:pStyle w:val="TableContents"/>
              <w:bidi w:val="0"/>
              <w:spacing w:before="0" w:after="283"/>
              <w:jc w:val="left"/>
              <w:rPr/>
            </w:pPr>
            <w:r>
              <w:rPr/>
              <w:t> </w:t>
            </w:r>
          </w:p>
        </w:tc>
      </w:tr>
      <w:tr>
        <w:trPr/>
        <w:tc>
          <w:tcPr>
            <w:tcW w:w="3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5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assets-June 30, 2025</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5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9,246</w:t>
            </w:r>
          </w:p>
        </w:tc>
        <w:tc>
          <w:tcPr>
            <w:tcW w:w="100" w:type="dxa"/>
            <w:tcBorders/>
            <w:shd w:fill="FFFFFF" w:val="clear"/>
            <w:vAlign w:val="center"/>
          </w:tcPr>
          <w:p>
            <w:pPr>
              <w:pStyle w:val="TableContents"/>
              <w:bidi w:val="0"/>
              <w:spacing w:before="0" w:after="283"/>
              <w:jc w:val="left"/>
              <w:rPr/>
            </w:pPr>
            <w:r>
              <w:rPr/>
              <w:t> </w:t>
            </w:r>
          </w:p>
        </w:tc>
      </w:tr>
      <w:tr>
        <w:trPr/>
        <w:tc>
          <w:tcPr>
            <w:tcW w:w="3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assets-December 31, 2024</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9,686</w:t>
            </w:r>
          </w:p>
        </w:tc>
        <w:tc>
          <w:tcPr>
            <w:tcW w:w="10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 2025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6"/>
        <w:gridCol w:w="60"/>
        <w:gridCol w:w="123"/>
        <w:gridCol w:w="824"/>
        <w:gridCol w:w="80"/>
        <w:gridCol w:w="60"/>
        <w:gridCol w:w="157"/>
        <w:gridCol w:w="607"/>
        <w:gridCol w:w="60"/>
        <w:gridCol w:w="60"/>
        <w:gridCol w:w="553"/>
        <w:gridCol w:w="739"/>
        <w:gridCol w:w="60"/>
        <w:gridCol w:w="60"/>
        <w:gridCol w:w="109"/>
        <w:gridCol w:w="721"/>
        <w:gridCol w:w="80"/>
        <w:gridCol w:w="60"/>
        <w:gridCol w:w="732"/>
        <w:gridCol w:w="978"/>
        <w:gridCol w:w="60"/>
        <w:gridCol w:w="60"/>
        <w:gridCol w:w="62"/>
        <w:gridCol w:w="412"/>
        <w:gridCol w:w="102"/>
      </w:tblGrid>
      <w:tr>
        <w:trPr/>
        <w:tc>
          <w:tcPr>
            <w:tcW w:w="3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102" w:type="dxa"/>
            <w:tcBorders/>
            <w:vAlign w:val="center"/>
          </w:tcPr>
          <w:p>
            <w:pPr>
              <w:pStyle w:val="TableContents"/>
              <w:bidi w:val="0"/>
              <w:spacing w:before="0" w:after="283"/>
              <w:jc w:val="left"/>
              <w:rPr/>
            </w:pPr>
            <w:r>
              <w:rPr/>
              <w:t> </w:t>
            </w:r>
          </w:p>
        </w:tc>
      </w:tr>
      <w:tr>
        <w:trPr/>
        <w:tc>
          <w:tcPr>
            <w:tcW w:w="3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33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ind w:left="0" w:right="0" w:hanging="0"/>
              <w:jc w:val="left"/>
              <w:rPr/>
            </w:pPr>
            <w:r>
              <w:rPr/>
              <w:t> </w:t>
            </w:r>
          </w:p>
        </w:tc>
        <w:tc>
          <w:tcPr>
            <w:tcW w:w="9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02" w:type="dxa"/>
            <w:tcBorders/>
            <w:shd w:fill="CCEEFF" w:val="clear"/>
            <w:vAlign w:val="center"/>
          </w:tcPr>
          <w:p>
            <w:pPr>
              <w:pStyle w:val="TableContents"/>
              <w:bidi w:val="0"/>
              <w:spacing w:before="0" w:after="283"/>
              <w:jc w:val="left"/>
              <w:rPr/>
            </w:pPr>
            <w:r>
              <w:rPr/>
              <w:t> </w:t>
            </w:r>
          </w:p>
        </w:tc>
      </w:tr>
      <w:tr>
        <w:trPr/>
        <w:tc>
          <w:tcPr>
            <w:tcW w:w="33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ind w:left="0" w:right="0" w:hanging="0"/>
              <w:jc w:val="left"/>
              <w:rPr/>
            </w:pPr>
            <w:r>
              <w:rPr/>
              <w:t> </w:t>
            </w:r>
          </w:p>
        </w:tc>
        <w:tc>
          <w:tcPr>
            <w:tcW w:w="9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102" w:type="dxa"/>
            <w:tcBorders/>
            <w:shd w:fill="FFFFFF" w:val="clear"/>
            <w:vAlign w:val="center"/>
          </w:tcPr>
          <w:p>
            <w:pPr>
              <w:pStyle w:val="TableContents"/>
              <w:bidi w:val="0"/>
              <w:spacing w:before="0" w:after="283"/>
              <w:jc w:val="left"/>
              <w:rPr/>
            </w:pPr>
            <w:r>
              <w:rPr/>
              <w:t> </w:t>
            </w:r>
          </w:p>
        </w:tc>
      </w:tr>
      <w:tr>
        <w:trPr/>
        <w:tc>
          <w:tcPr>
            <w:tcW w:w="33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ind w:left="0" w:right="0" w:hanging="0"/>
              <w:jc w:val="left"/>
              <w:rPr/>
            </w:pPr>
            <w:r>
              <w:rPr/>
              <w:t> </w:t>
            </w:r>
          </w:p>
        </w:tc>
        <w:tc>
          <w:tcPr>
            <w:tcW w:w="9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02" w:type="dxa"/>
            <w:tcBorders/>
            <w:shd w:fill="CCEEFF" w:val="clear"/>
            <w:vAlign w:val="center"/>
          </w:tcPr>
          <w:p>
            <w:pPr>
              <w:pStyle w:val="TableContents"/>
              <w:bidi w:val="0"/>
              <w:spacing w:before="0" w:after="283"/>
              <w:jc w:val="left"/>
              <w:rPr/>
            </w:pPr>
            <w:r>
              <w:rPr/>
              <w:t> </w:t>
            </w:r>
          </w:p>
        </w:tc>
      </w:tr>
      <w:tr>
        <w:trPr/>
        <w:tc>
          <w:tcPr>
            <w:tcW w:w="33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ind w:left="0" w:right="0" w:hanging="0"/>
              <w:jc w:val="left"/>
              <w:rPr/>
            </w:pPr>
            <w:r>
              <w:rPr/>
              <w:t> </w:t>
            </w:r>
          </w:p>
        </w:tc>
        <w:tc>
          <w:tcPr>
            <w:tcW w:w="9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33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33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ind w:left="0" w:right="0" w:hanging="0"/>
              <w:jc w:val="left"/>
              <w:rPr/>
            </w:pPr>
            <w:r>
              <w:rPr/>
              <w:t> </w:t>
            </w:r>
          </w:p>
        </w:tc>
        <w:tc>
          <w:tcPr>
            <w:tcW w:w="9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 2024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5"/>
        <w:gridCol w:w="60"/>
        <w:gridCol w:w="97"/>
        <w:gridCol w:w="796"/>
        <w:gridCol w:w="80"/>
        <w:gridCol w:w="60"/>
        <w:gridCol w:w="148"/>
        <w:gridCol w:w="832"/>
        <w:gridCol w:w="80"/>
        <w:gridCol w:w="60"/>
        <w:gridCol w:w="135"/>
        <w:gridCol w:w="1098"/>
        <w:gridCol w:w="60"/>
        <w:gridCol w:w="60"/>
        <w:gridCol w:w="76"/>
        <w:gridCol w:w="754"/>
        <w:gridCol w:w="80"/>
        <w:gridCol w:w="60"/>
        <w:gridCol w:w="135"/>
        <w:gridCol w:w="1470"/>
        <w:gridCol w:w="80"/>
        <w:gridCol w:w="60"/>
        <w:gridCol w:w="60"/>
        <w:gridCol w:w="590"/>
        <w:gridCol w:w="99"/>
      </w:tblGrid>
      <w:tr>
        <w:trPr/>
        <w:tc>
          <w:tcPr>
            <w:tcW w:w="3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Ecommerce</w:t>
              <w:br/>
              <w:t>O2O Ad and</w:t>
              <w:br/>
              <w:t>marketing</w:t>
              <w:br/>
              <w:t>services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99" w:type="dxa"/>
            <w:tcBorders/>
            <w:vAlign w:val="center"/>
          </w:tcPr>
          <w:p>
            <w:pPr>
              <w:pStyle w:val="TableContents"/>
              <w:bidi w:val="0"/>
              <w:spacing w:before="0" w:after="283"/>
              <w:jc w:val="left"/>
              <w:rPr/>
            </w:pPr>
            <w:r>
              <w:rPr/>
              <w:t> </w:t>
            </w:r>
          </w:p>
        </w:tc>
      </w:tr>
      <w:tr>
        <w:trPr/>
        <w:tc>
          <w:tcPr>
            <w:tcW w:w="3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3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4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9,951</w:t>
            </w:r>
          </w:p>
        </w:tc>
        <w:tc>
          <w:tcPr>
            <w:tcW w:w="99" w:type="dxa"/>
            <w:tcBorders/>
            <w:shd w:fill="CCEEFF" w:val="clear"/>
            <w:vAlign w:val="center"/>
          </w:tcPr>
          <w:p>
            <w:pPr>
              <w:pStyle w:val="TableContents"/>
              <w:bidi w:val="0"/>
              <w:spacing w:before="0" w:after="283"/>
              <w:jc w:val="left"/>
              <w:rPr/>
            </w:pPr>
            <w:r>
              <w:rPr/>
              <w:t> </w:t>
            </w:r>
          </w:p>
        </w:tc>
      </w:tr>
      <w:tr>
        <w:trPr/>
        <w:tc>
          <w:tcPr>
            <w:tcW w:w="3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4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9,551</w:t>
            </w:r>
          </w:p>
        </w:tc>
        <w:tc>
          <w:tcPr>
            <w:tcW w:w="99" w:type="dxa"/>
            <w:tcBorders/>
            <w:shd w:fill="FFFFFF" w:val="clear"/>
            <w:vAlign w:val="center"/>
          </w:tcPr>
          <w:p>
            <w:pPr>
              <w:pStyle w:val="TableContents"/>
              <w:bidi w:val="0"/>
              <w:spacing w:before="0" w:after="283"/>
              <w:jc w:val="left"/>
              <w:rPr/>
            </w:pPr>
            <w:r>
              <w:rPr/>
              <w:t> </w:t>
            </w:r>
          </w:p>
        </w:tc>
      </w:tr>
      <w:tr>
        <w:trPr/>
        <w:tc>
          <w:tcPr>
            <w:tcW w:w="3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4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99" w:type="dxa"/>
            <w:tcBorders/>
            <w:shd w:fill="CCEEFF" w:val="clear"/>
            <w:vAlign w:val="center"/>
          </w:tcPr>
          <w:p>
            <w:pPr>
              <w:pStyle w:val="TableContents"/>
              <w:bidi w:val="0"/>
              <w:spacing w:before="0" w:after="283"/>
              <w:jc w:val="left"/>
              <w:rPr/>
            </w:pPr>
            <w:r>
              <w:rPr/>
              <w:t> </w:t>
            </w:r>
          </w:p>
        </w:tc>
      </w:tr>
      <w:tr>
        <w:trPr/>
        <w:tc>
          <w:tcPr>
            <w:tcW w:w="3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4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4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4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4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assets-June 30, 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4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10,843</w:t>
            </w:r>
          </w:p>
        </w:tc>
        <w:tc>
          <w:tcPr>
            <w:tcW w:w="99" w:type="dxa"/>
            <w:tcBorders/>
            <w:shd w:fill="CCEEFF" w:val="clear"/>
            <w:vAlign w:val="center"/>
          </w:tcPr>
          <w:p>
            <w:pPr>
              <w:pStyle w:val="TableContents"/>
              <w:bidi w:val="0"/>
              <w:spacing w:before="0" w:after="283"/>
              <w:jc w:val="left"/>
              <w:rPr/>
            </w:pPr>
            <w:r>
              <w:rPr/>
              <w:t> </w:t>
            </w:r>
          </w:p>
        </w:tc>
      </w:tr>
      <w:tr>
        <w:trPr/>
        <w:tc>
          <w:tcPr>
            <w:tcW w:w="3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assets-December 31, 2023</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4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11,233</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 2024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4"/>
        <w:gridCol w:w="60"/>
        <w:gridCol w:w="100"/>
        <w:gridCol w:w="821"/>
        <w:gridCol w:w="80"/>
        <w:gridCol w:w="60"/>
        <w:gridCol w:w="240"/>
        <w:gridCol w:w="742"/>
        <w:gridCol w:w="80"/>
        <w:gridCol w:w="60"/>
        <w:gridCol w:w="191"/>
        <w:gridCol w:w="1073"/>
        <w:gridCol w:w="60"/>
        <w:gridCol w:w="60"/>
        <w:gridCol w:w="109"/>
        <w:gridCol w:w="721"/>
        <w:gridCol w:w="80"/>
        <w:gridCol w:w="60"/>
        <w:gridCol w:w="711"/>
        <w:gridCol w:w="949"/>
        <w:gridCol w:w="60"/>
        <w:gridCol w:w="60"/>
        <w:gridCol w:w="60"/>
        <w:gridCol w:w="485"/>
        <w:gridCol w:w="99"/>
      </w:tblGrid>
      <w:tr>
        <w:trPr/>
        <w:tc>
          <w:tcPr>
            <w:tcW w:w="3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Ecommerce</w:t>
              <w:br/>
              <w:t>O2O Ad and</w:t>
              <w:br/>
              <w:t>marketing</w:t>
              <w:br/>
              <w:t>services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99" w:type="dxa"/>
            <w:tcBorders/>
            <w:vAlign w:val="center"/>
          </w:tcPr>
          <w:p>
            <w:pPr>
              <w:pStyle w:val="TableContents"/>
              <w:bidi w:val="0"/>
              <w:spacing w:before="0" w:after="283"/>
              <w:jc w:val="left"/>
              <w:rPr/>
            </w:pPr>
            <w:r>
              <w:rPr/>
              <w:t> </w:t>
            </w:r>
          </w:p>
        </w:tc>
      </w:tr>
      <w:tr>
        <w:trPr/>
        <w:tc>
          <w:tcPr>
            <w:tcW w:w="3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3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6,420</w:t>
            </w:r>
          </w:p>
        </w:tc>
        <w:tc>
          <w:tcPr>
            <w:tcW w:w="99" w:type="dxa"/>
            <w:tcBorders/>
            <w:shd w:fill="CCEEFF" w:val="clear"/>
            <w:vAlign w:val="center"/>
          </w:tcPr>
          <w:p>
            <w:pPr>
              <w:pStyle w:val="TableContents"/>
              <w:bidi w:val="0"/>
              <w:spacing w:before="0" w:after="283"/>
              <w:jc w:val="left"/>
              <w:rPr/>
            </w:pPr>
            <w:r>
              <w:rPr/>
              <w:t> </w:t>
            </w:r>
          </w:p>
        </w:tc>
      </w:tr>
      <w:tr>
        <w:trPr/>
        <w:tc>
          <w:tcPr>
            <w:tcW w:w="3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6,092</w:t>
            </w:r>
          </w:p>
        </w:tc>
        <w:tc>
          <w:tcPr>
            <w:tcW w:w="99" w:type="dxa"/>
            <w:tcBorders/>
            <w:shd w:fill="FFFFFF" w:val="clear"/>
            <w:vAlign w:val="center"/>
          </w:tcPr>
          <w:p>
            <w:pPr>
              <w:pStyle w:val="TableContents"/>
              <w:bidi w:val="0"/>
              <w:spacing w:before="0" w:after="283"/>
              <w:jc w:val="left"/>
              <w:rPr/>
            </w:pPr>
            <w:r>
              <w:rPr/>
              <w:t> </w:t>
            </w:r>
          </w:p>
        </w:tc>
      </w:tr>
      <w:tr>
        <w:trPr/>
        <w:tc>
          <w:tcPr>
            <w:tcW w:w="3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99" w:type="dxa"/>
            <w:tcBorders/>
            <w:shd w:fill="CCEEFF" w:val="clear"/>
            <w:vAlign w:val="center"/>
          </w:tcPr>
          <w:p>
            <w:pPr>
              <w:pStyle w:val="TableContents"/>
              <w:bidi w:val="0"/>
              <w:spacing w:before="0" w:after="283"/>
              <w:jc w:val="left"/>
              <w:rPr/>
            </w:pPr>
            <w:r>
              <w:rPr/>
              <w:t> </w:t>
            </w:r>
          </w:p>
        </w:tc>
      </w:tr>
      <w:tr>
        <w:trPr/>
        <w:tc>
          <w:tcPr>
            <w:tcW w:w="3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19.</w:t>
            </w:r>
          </w:p>
        </w:tc>
        <w:tc>
          <w:tcPr>
            <w:tcW w:w="12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Basic and diluted loss per share for each of the periods presented are calculated as follows (All amounts, except number of shares and per share data, are presented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1"/>
        <w:gridCol w:w="60"/>
        <w:gridCol w:w="132"/>
        <w:gridCol w:w="895"/>
        <w:gridCol w:w="84"/>
        <w:gridCol w:w="63"/>
        <w:gridCol w:w="132"/>
        <w:gridCol w:w="895"/>
        <w:gridCol w:w="80"/>
        <w:gridCol w:w="60"/>
        <w:gridCol w:w="140"/>
        <w:gridCol w:w="949"/>
        <w:gridCol w:w="89"/>
        <w:gridCol w:w="67"/>
        <w:gridCol w:w="140"/>
        <w:gridCol w:w="949"/>
        <w:gridCol w:w="99"/>
      </w:tblGrid>
      <w:tr>
        <w:trPr/>
        <w:tc>
          <w:tcPr>
            <w:tcW w:w="5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9"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0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9" w:type="dxa"/>
            <w:tcBorders/>
            <w:vAlign w:val="center"/>
          </w:tcPr>
          <w:p>
            <w:pPr>
              <w:pStyle w:val="TableContents"/>
              <w:bidi w:val="0"/>
              <w:spacing w:before="0" w:after="283"/>
              <w:jc w:val="left"/>
              <w:rPr/>
            </w:pPr>
            <w:r>
              <w:rPr/>
              <w:t> </w:t>
            </w:r>
          </w:p>
        </w:tc>
      </w:tr>
      <w:tr>
        <w:trPr/>
        <w:tc>
          <w:tcPr>
            <w:tcW w:w="5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 attributable to noncontrolling interests from continued operations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ZW Data Action Technologies Inc. (numerator for basic and diluted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2,342,790</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2,383,918</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2025 and 2024, the diluted loss per share calculation did not include any outstanding warrants to purchase the Company’s common stock, because they were out-of-the-money and their effect was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bookmarkStart w:id="13" w:name="notesend"/>
      <w:bookmarkEnd w:id="13"/>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w:t>
            </w:r>
          </w:p>
        </w:tc>
        <w:tc>
          <w:tcPr>
            <w:tcW w:w="30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Share-based compensation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 August 2024, the Company granted and issued approximately 0.18 million fully-vested and non-forfeitable shares of the Company restricted common stock to business and financial consultants in exchange for their service for a 12-month period until August 2025. The Company valued these shares at the closing bid price of the Company’s common stock on the grant date of these shares and recorded the related total cost of approximately US$0.35 million as a prepayment upon the grant and issuance of these shares. Total compensation expenses amortized was approximately US$0.29 million and US$0.14 million for the six and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summarized share-based compensation expenses recorded for the six and three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3005"/>
        <w:gridCol w:w="60"/>
        <w:gridCol w:w="210"/>
        <w:gridCol w:w="1176"/>
        <w:gridCol w:w="210"/>
        <w:gridCol w:w="210"/>
        <w:gridCol w:w="465"/>
        <w:gridCol w:w="544"/>
        <w:gridCol w:w="60"/>
        <w:gridCol w:w="60"/>
        <w:gridCol w:w="232"/>
        <w:gridCol w:w="1299"/>
        <w:gridCol w:w="232"/>
        <w:gridCol w:w="232"/>
        <w:gridCol w:w="501"/>
        <w:gridCol w:w="508"/>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10" w:type="dxa"/>
            <w:tcBorders>
              <w:bottom w:val="single" w:sz="2" w:space="0" w:color="000000"/>
            </w:tcBorders>
            <w:tcMar>
              <w:bottom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21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23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21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23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1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1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2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ind w:left="0" w:right="0" w:hanging="0"/>
              <w:jc w:val="left"/>
              <w:rPr/>
            </w:pPr>
            <w:r>
              <w:rPr/>
              <w:t> </w:t>
            </w:r>
          </w:p>
        </w:tc>
        <w:tc>
          <w:tcPr>
            <w:tcW w:w="5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2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2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5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287</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5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21.</w:t>
            </w:r>
          </w:p>
        </w:tc>
        <w:tc>
          <w:tcPr>
            <w:tcW w:w="15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has performed an evaluation of subsequent events through the date the financial statements were issued and has determined that there are no events that are material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00" w:right="0" w:hanging="720"/>
        <w:jc w:val="both"/>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14" w:name="i2starts"/>
      <w:bookmarkEnd w:id="14"/>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0" w:right="0" w:hanging="72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and analysis of our financial condition and results of operations in conjunction with our consolidated financial statements and the related notes included elsewhere in this interim report. Our consolidated financial statements have been prepared in accordance with U.S. GAAP. The following discussion and analysis contains forward-looking statements within the meaning of Section 27A of the Securities Act of 1933 and Section 21E of the Securities Exchange Act of 1934, including, without limitation, statements regarding our expectations, beliefs, intentions or future strategies that are signified by the words </w:t>
      </w:r>
      <w:r>
        <w:rPr>
          <w:rFonts w:ascii="Times New Roman" w:hAnsi="Times New Roman"/>
          <w:caps w:val="false"/>
          <w:smallCaps w:val="false"/>
          <w:sz w:val="20"/>
        </w:rPr>
        <w:t>“</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similar language. All forward-looking statements included in this document are based on information available to us on the date hereof, and we assume no obligation to update any such forward-looking statements. Our business and financial performance are subject to substantial risks and uncertainties. Actual results could differ materially from those projected in the forward-looking statements. In evaluating our business, you should carefully consider the information set forth under the heading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our Annual Report on Form 10-K for the fiscal year ended December 31, 2024. Readers are cautioned not to place undue reliance on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caps w:val="false"/>
          <w:smallCaps w:val="false"/>
          <w:sz w:val="20"/>
        </w:rPr>
        <w:t>The Public Company Accounting Oversight Board (</w:t>
      </w:r>
      <w:r>
        <w:rPr>
          <w:rFonts w:ascii="Times New Roman" w:hAnsi="Times New Roman"/>
          <w:caps w:val="false"/>
          <w:smallCaps w:val="false"/>
          <w:sz w:val="20"/>
        </w:rPr>
        <w:t>“</w:t>
      </w:r>
      <w:r>
        <w:rPr>
          <w:rFonts w:ascii="Times New Roman" w:hAnsi="Times New Roman"/>
          <w:b/>
          <w:caps w:val="false"/>
          <w:smallCaps w:val="false"/>
          <w:sz w:val="20"/>
        </w:rPr>
        <w:t>PCAOB</w:t>
      </w:r>
      <w:r>
        <w:rPr>
          <w:rFonts w:ascii="Times New Roman" w:hAnsi="Times New Roman"/>
          <w:caps w:val="false"/>
          <w:smallCaps w:val="false"/>
          <w:sz w:val="20"/>
        </w:rPr>
        <w:t>”</w:t>
      </w:r>
      <w:r>
        <w:rPr>
          <w:rFonts w:ascii="Times New Roman" w:hAnsi="Times New Roman"/>
          <w:b/>
          <w:caps w:val="false"/>
          <w:smallCaps w:val="false"/>
          <w:sz w:val="20"/>
        </w:rPr>
        <w:t xml:space="preserve">) had historically been unable to inspect our auditor in relation to their audit work performed for our financial statements and the inability of the PCAOB to conduct inspections over our auditor deprived our investors of the benefits of such inspections.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Our auditor, ARK Pro CPA &amp; Co. (“ARK”),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caps w:val="false"/>
          <w:smallCaps w:val="false"/>
          <w:sz w:val="20"/>
        </w:rPr>
        <w:t>Our common stock may be delisted and prohibited from trading in the United States under the Holding Foreign Companies Accountable Act, or the HFCAA,</w:t>
      </w:r>
      <w:r>
        <w:rPr>
          <w:rFonts w:ascii="Times New Roman" w:hAnsi="Times New Roman"/>
          <w:caps w:val="false"/>
          <w:smallCaps w:val="false"/>
          <w:sz w:val="20"/>
        </w:rPr>
        <w:t> </w:t>
      </w:r>
      <w:r>
        <w:rPr>
          <w:rFonts w:ascii="Times New Roman" w:hAnsi="Times New Roman"/>
          <w:b/>
          <w:caps w:val="false"/>
          <w:smallCaps w:val="false"/>
          <w:sz w:val="20"/>
        </w:rPr>
        <w:t>as amended by the Accelerating Holding Foreign Companies Accountable Act,</w:t>
      </w:r>
      <w:r>
        <w:rPr>
          <w:rFonts w:ascii="Times New Roman" w:hAnsi="Times New Roman"/>
          <w:caps w:val="false"/>
          <w:smallCaps w:val="false"/>
          <w:sz w:val="20"/>
        </w:rPr>
        <w:t> </w:t>
      </w:r>
      <w:r>
        <w:rPr>
          <w:rFonts w:ascii="Times New Roman" w:hAnsi="Times New Roman"/>
          <w:b/>
          <w:caps w:val="false"/>
          <w:smallCaps w:val="false"/>
          <w:sz w:val="20"/>
        </w:rPr>
        <w:t>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40"/>
        <w:jc w:val="both"/>
        <w:rPr>
          <w:rFonts w:ascii="Times New Roman" w:hAnsi="Times New Roman"/>
          <w:caps w:val="false"/>
          <w:smallCaps w:val="false"/>
          <w:sz w:val="20"/>
        </w:rPr>
      </w:pPr>
      <w:r>
        <w:rPr>
          <w:rFonts w:ascii="Times New Roman" w:hAnsi="Times New Roman"/>
          <w:caps w:val="false"/>
          <w:smallCaps w:val="false"/>
          <w:sz w:val="20"/>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2022.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company was incorporated in the State of Texas in April 2006 and re-domiciled to become a Nevada corporation in October 2006. As a result of a share exchange transaction we consummated with China Net BVI in June 2009, we are now a holding company, which through certain contractual arrangements with operating companies in the PRC, is engaged in providing Internet advertising, precision marketing, blockchain-based SaaS services, and ecommerce O2O advertising and marketing services and the related data and technical services to SMEs in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Through our PRC operating subsidiaries and VIEs, we primarily operate a one-stop services for our clients on our Omni-channel advertising, precision marketing and data analysis management system. We offer a variety channels of advertising and marketing services through this system, which primarily include distribution of the right to use search engine marketing services we purchased from key search engines, provision of online advertising placements services on our web portals, provision of ecommerce O2O advertising and marketing services as well as provision of other related value-added data and technical services to maximize market exposure and effectiveness for our clients. Beginning in early 2022, we introduced our SaaS services to customers. The SaaS services were designated in providing one-stop blockchain-powered enterprise management solutions via our BIF platform in forms of unique NFT generation, data record, sharing, and storage module subscriptions.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Basis of presentation, management estimates and 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unaudited condensed consolidated financial statements have been prepared in accordance with generally accepted accounting principles in the United States of America (“U.S. GAAP”) and include the accounts of our company, and all of our subsidiaries and VIEs. We prepare financial statements in conformity with U.S. GAAP, which requires us to make estimates and assumptions that affect the reported amounts of assets and liabilities, disclosure of contingent assets and liabilities on the date of the financial statements and the reported amounts of revenues and expenses during the financial reporting period.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those estimates. Some of our accounting policies require higher degrees of judgment than others in their application. In order to understand the significant accounting policies that we adopted for the preparation of our condensed consolidated interim financial statements, readers should refer to the information set forth in Note 4 “Summary of significant accounting policies” to our audited financial statements in our 2024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the assumptions and estimates associated with revenue recognition, estimation of current expected credit loss and fair value measurement of warrant liabilities have the greatest potential impacts on our condensed consolidated financial statements. Therefore, we consider these to be our critical accounting policies and estimates.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revenues are recognized when control of promised services is transferred to our customers, in an amount that reflects the consideration we expect to be entitled to in exchange for those services. Our revenues from distribution of the right to use search engine marketing service are recognized on a gross basis, because we determine that we are a principal in the transaction who control the services before they are transferred to our customers.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an allowance for credit losses for accounts receivable and short-term loans provided to unrelated parties, which are recorded as valuation accounts that are deducted from the amortized cost basis of the related financial assets to present the net amount expected to be collected on the financial assets. The allowance for credit losses reflects our current estimate of credit losses expected to be incurred over the life of the related financial assets. We consider various factors in establishing, monitoring, and adjusting our allowance for credit losses, including the aging and aging trends, customer/other parties’ creditworthiness and specific exposures related to particular customers/other parties. We also monitor other risk factors and forward-looking information, such as country specific risks and economic factors that may affect a customer/other party’s ability to pay in establishing and adjusting its allowance for credit losses. We assess collectability by reviewing the financial assets on a collective basis where similar characteristics exist and on an individual basis when we identify specific customers/other parties with known disputes or collectability issues. Accounts receivable and short-term loans to unrelated parties are written off after all collection efforts have ceased.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determined that the warrants we issued in various financing activities should be accounted for as derivative liabilities and measured at fair value with changes in fair value be recorded in earnings in each reporting period. 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of our warrant liabilities was determined based on significant unobservable inputs, such as volatility of our stock price, risk free interest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RESULTS OF OPERATIONS FOR THE SIX AND THREE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a summary, for the periods indicated, of our consolidated results of operations. Our historical results presented below are not necessarily indicative of the results that may be expected for any future period. All amounts are presented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027" w:type="dxa"/>
        <w:jc w:val="left"/>
        <w:tblInd w:w="0" w:type="dxa"/>
        <w:tblLayout w:type="fixed"/>
        <w:tblCellMar>
          <w:top w:w="0" w:type="dxa"/>
          <w:left w:w="0" w:type="dxa"/>
          <w:bottom w:w="0" w:type="dxa"/>
          <w:right w:w="0" w:type="dxa"/>
        </w:tblCellMar>
      </w:tblPr>
      <w:tblGrid>
        <w:gridCol w:w="4895"/>
        <w:gridCol w:w="60"/>
        <w:gridCol w:w="194"/>
        <w:gridCol w:w="846"/>
        <w:gridCol w:w="124"/>
        <w:gridCol w:w="93"/>
        <w:gridCol w:w="194"/>
        <w:gridCol w:w="846"/>
        <w:gridCol w:w="80"/>
        <w:gridCol w:w="60"/>
        <w:gridCol w:w="250"/>
        <w:gridCol w:w="790"/>
        <w:gridCol w:w="160"/>
        <w:gridCol w:w="120"/>
        <w:gridCol w:w="250"/>
        <w:gridCol w:w="970"/>
        <w:gridCol w:w="95"/>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4" w:type="dxa"/>
            <w:tcBorders>
              <w:bottom w:val="single" w:sz="2" w:space="0" w:color="000000"/>
            </w:tcBorders>
            <w:tcMar>
              <w:bottom w:w="28" w:type="dxa"/>
            </w:tcM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9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6,420</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6,092</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207 </w:t>
            </w:r>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47 </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328</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both"/>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both"/>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both"/>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(1,261</w:t>
            </w:r>
          </w:p>
        </w:tc>
        <w:tc>
          <w:tcPr>
            <w:tcW w:w="12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(1,223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(682</w:t>
            </w:r>
          </w:p>
        </w:tc>
        <w:tc>
          <w:tcPr>
            <w:tcW w:w="1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(301</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both"/>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both"/>
              <w:rPr/>
            </w:pPr>
            <w:r>
              <w:rPr/>
              <w:t> </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long-term investments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income/(expenses)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Loss before income tax benefit/(expense)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(1,167</w:t>
            </w:r>
          </w:p>
        </w:tc>
        <w:tc>
          <w:tcPr>
            <w:tcW w:w="12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(638</w:t>
            </w:r>
          </w:p>
        </w:tc>
        <w:tc>
          <w:tcPr>
            <w:tcW w:w="1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(233</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benefit/(expense)</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(1,167</w:t>
            </w:r>
          </w:p>
        </w:tc>
        <w:tc>
          <w:tcPr>
            <w:tcW w:w="12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(637</w:t>
            </w:r>
          </w:p>
        </w:tc>
        <w:tc>
          <w:tcPr>
            <w:tcW w:w="1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0" w:type="dxa"/>
            <w:tcBorders/>
            <w:shd w:fill="FFFFFF" w:val="clear"/>
            <w:vAlign w:val="center"/>
          </w:tcPr>
          <w:p>
            <w:pPr>
              <w:pStyle w:val="TableContents"/>
              <w:bidi w:val="0"/>
              <w:spacing w:before="0" w:after="283"/>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(232</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attributable to ZW Data Action Technologies Inc.</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(1,168</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(637</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0" w:type="dxa"/>
            <w:tcBorders/>
            <w:shd w:fill="FFFF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(216</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set forth a breakdown of our total revenues, disaggregated by type of services for the periods indicated, with inter-company transactions eliminated: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5"/>
        <w:gridCol w:w="60"/>
        <w:gridCol w:w="253"/>
        <w:gridCol w:w="985"/>
        <w:gridCol w:w="121"/>
        <w:gridCol w:w="121"/>
        <w:gridCol w:w="121"/>
        <w:gridCol w:w="772"/>
        <w:gridCol w:w="376"/>
        <w:gridCol w:w="121"/>
        <w:gridCol w:w="253"/>
        <w:gridCol w:w="985"/>
        <w:gridCol w:w="121"/>
        <w:gridCol w:w="121"/>
        <w:gridCol w:w="121"/>
        <w:gridCol w:w="772"/>
        <w:gridCol w:w="207"/>
      </w:tblGrid>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76" w:type="dxa"/>
            <w:tcBorders>
              <w:bottom w:val="single" w:sz="2" w:space="0" w:color="000000"/>
            </w:tcBorders>
            <w:tcMar>
              <w:bottom w:w="28" w:type="dxa"/>
            </w:tcMar>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23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type</w:t>
            </w:r>
          </w:p>
        </w:tc>
        <w:tc>
          <w:tcPr>
            <w:tcW w:w="60" w:type="dxa"/>
            <w:tcBorders/>
            <w:vAlign w:val="center"/>
          </w:tcPr>
          <w:p>
            <w:pPr>
              <w:pStyle w:val="TableContents"/>
              <w:bidi w:val="0"/>
              <w:spacing w:before="0" w:after="283"/>
              <w:ind w:left="0" w:right="0" w:hanging="0"/>
              <w:jc w:val="left"/>
              <w:rPr/>
            </w:pPr>
            <w:r>
              <w:rPr/>
              <w:t> </w:t>
            </w:r>
          </w:p>
        </w:tc>
        <w:tc>
          <w:tcPr>
            <w:tcW w:w="52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3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7"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37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20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w:t>
            </w:r>
          </w:p>
        </w:tc>
        <w:tc>
          <w:tcPr>
            <w:tcW w:w="3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3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7"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37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0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3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9,951</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7"/>
        <w:gridCol w:w="60"/>
        <w:gridCol w:w="269"/>
        <w:gridCol w:w="722"/>
        <w:gridCol w:w="127"/>
        <w:gridCol w:w="127"/>
        <w:gridCol w:w="127"/>
        <w:gridCol w:w="819"/>
        <w:gridCol w:w="397"/>
        <w:gridCol w:w="127"/>
        <w:gridCol w:w="269"/>
        <w:gridCol w:w="1045"/>
        <w:gridCol w:w="127"/>
        <w:gridCol w:w="127"/>
        <w:gridCol w:w="127"/>
        <w:gridCol w:w="819"/>
        <w:gridCol w:w="209"/>
      </w:tblGrid>
      <w:tr>
        <w:trPr/>
        <w:tc>
          <w:tcPr>
            <w:tcW w:w="4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97" w:type="dxa"/>
            <w:tcBorders>
              <w:bottom w:val="single" w:sz="2" w:space="0" w:color="000000"/>
            </w:tcBorders>
            <w:tcMar>
              <w:bottom w:w="28" w:type="dxa"/>
            </w:tcMar>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ind w:left="0" w:right="0" w:hanging="0"/>
              <w:jc w:val="left"/>
              <w:rPr/>
            </w:pPr>
            <w:r>
              <w:rPr/>
              <w:t> </w:t>
            </w:r>
          </w:p>
        </w:tc>
        <w:tc>
          <w:tcPr>
            <w:tcW w:w="25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type</w:t>
            </w:r>
          </w:p>
        </w:tc>
        <w:tc>
          <w:tcPr>
            <w:tcW w:w="60" w:type="dxa"/>
            <w:tcBorders/>
            <w:vAlign w:val="center"/>
          </w:tcPr>
          <w:p>
            <w:pPr>
              <w:pStyle w:val="TableContents"/>
              <w:bidi w:val="0"/>
              <w:spacing w:before="0" w:after="283"/>
              <w:ind w:left="0" w:right="0" w:hanging="0"/>
              <w:jc w:val="left"/>
              <w:rPr/>
            </w:pPr>
            <w:r>
              <w:rPr/>
              <w:t> </w:t>
            </w:r>
          </w:p>
        </w:tc>
        <w:tc>
          <w:tcPr>
            <w:tcW w:w="522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r>
      <w:tr>
        <w:trPr/>
        <w:tc>
          <w:tcPr>
            <w:tcW w:w="47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w:t>
            </w:r>
          </w:p>
        </w:tc>
        <w:tc>
          <w:tcPr>
            <w:tcW w:w="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9" w:type="dxa"/>
            <w:tcBorders/>
            <w:shd w:fill="CCEEFF" w:val="clear"/>
            <w:vAlign w:val="center"/>
          </w:tcPr>
          <w:p>
            <w:pPr>
              <w:pStyle w:val="TableContents"/>
              <w:bidi w:val="0"/>
              <w:spacing w:before="0" w:after="283"/>
              <w:jc w:val="left"/>
              <w:rPr/>
            </w:pPr>
            <w:r>
              <w:rPr/>
              <w:t> </w:t>
            </w:r>
          </w:p>
        </w:tc>
      </w:tr>
      <w:tr>
        <w:trPr/>
        <w:tc>
          <w:tcPr>
            <w:tcW w:w="47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2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w:t>
            </w:r>
          </w:p>
        </w:tc>
        <w:tc>
          <w:tcPr>
            <w:tcW w:w="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3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9" w:type="dxa"/>
            <w:tcBorders/>
            <w:shd w:fill="FFFFFF" w:val="clear"/>
            <w:vAlign w:val="center"/>
          </w:tcPr>
          <w:p>
            <w:pPr>
              <w:pStyle w:val="TableContents"/>
              <w:bidi w:val="0"/>
              <w:spacing w:before="0" w:after="283"/>
              <w:jc w:val="left"/>
              <w:rPr/>
            </w:pPr>
            <w:r>
              <w:rPr/>
              <w:t> </w:t>
            </w:r>
          </w:p>
        </w:tc>
      </w:tr>
      <w:tr>
        <w:trPr/>
        <w:tc>
          <w:tcPr>
            <w:tcW w:w="47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20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3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6,420</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i/>
          <w:caps w:val="false"/>
          <w:smallCaps w:val="false"/>
          <w:sz w:val="20"/>
        </w:rPr>
        <w:t>Total Revenues:</w:t>
      </w:r>
      <w:r>
        <w:rPr>
          <w:rFonts w:ascii="Times New Roman" w:hAnsi="Times New Roman"/>
          <w:caps w:val="false"/>
          <w:smallCaps w:val="false"/>
          <w:sz w:val="20"/>
        </w:rPr>
        <w:t xml:space="preserve"> Our total revenues decreased to US$2.2 million and US$0.55 million for the six and three months ended June 30, 2025, respectively, from US$9.95 million and US$6.42 million for the same periods last year, respectively, which was primarily due to winding down of our main stream business segment - distribution of the right to use search engine marketing services.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2025, internet advertising and related marketing services revenue was approximately US$1.44 million and US$0.47 million, respectively, compared with nil for the six and three months ended June 30, 2024, respectively. The increase primarily resulted from the Company’s shift in focus towards higher-margin business segments, including influencer marketing, marketing and branding strategy services, creative development, digital advertising management services and other related digital marketing services for Hong Kong and overseas clients.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generated from distribution of the right to use search engine marketing service for the six and three months ended June 30, 2025 was approximately US$0.05 million and nil, respectively, compared with approximately US$9.2 million and US$5.67 million for the six and three months ended June 30, 2024, respectively. The decrease was mainly due to winding down of our distribution of the right to use search engine marketing service in the PRC, after experiencing low to negative margins in this business segment over the past several years.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2025, revenue from our blockchain-based SaaS services was approximately US$0.62 million and nil, respectively, compared with approximately US$0.75 million for the six and three months ended June 30,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cost of revenues consisted of costs directly related to the offering of our Internet advertising, precision marketing and related services, intellectual property amortization costs relating to our IP services, software platform amortization cost related to our blockchain-based SaaS service and costs related to enhancing our blockchain-based SaaS services. The following table sets forth our cost of revenues, disaggregated by type of services, by amount and gross profit ratio for the periods indicated, with inter-company transactions eliminated: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93"/>
        <w:gridCol w:w="60"/>
        <w:gridCol w:w="180"/>
        <w:gridCol w:w="668"/>
        <w:gridCol w:w="80"/>
        <w:gridCol w:w="80"/>
        <w:gridCol w:w="168"/>
        <w:gridCol w:w="651"/>
        <w:gridCol w:w="80"/>
        <w:gridCol w:w="80"/>
        <w:gridCol w:w="85"/>
        <w:gridCol w:w="542"/>
        <w:gridCol w:w="248"/>
        <w:gridCol w:w="80"/>
        <w:gridCol w:w="180"/>
        <w:gridCol w:w="668"/>
        <w:gridCol w:w="80"/>
        <w:gridCol w:w="80"/>
        <w:gridCol w:w="168"/>
        <w:gridCol w:w="651"/>
        <w:gridCol w:w="80"/>
        <w:gridCol w:w="80"/>
        <w:gridCol w:w="113"/>
        <w:gridCol w:w="503"/>
        <w:gridCol w:w="207"/>
      </w:tblGrid>
      <w:tr>
        <w:trPr/>
        <w:tc>
          <w:tcPr>
            <w:tcW w:w="4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45"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1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8"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260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45"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6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48"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r>
      <w:tr>
        <w:trPr/>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7" w:type="dxa"/>
            <w:tcBorders/>
            <w:shd w:fill="CCEEFF" w:val="clear"/>
            <w:vAlign w:val="center"/>
          </w:tcPr>
          <w:p>
            <w:pPr>
              <w:pStyle w:val="TableContents"/>
              <w:bidi w:val="0"/>
              <w:spacing w:before="0" w:after="283"/>
              <w:jc w:val="left"/>
              <w:rPr/>
            </w:pPr>
            <w:r>
              <w:rPr/>
              <w:t> </w:t>
            </w:r>
          </w:p>
        </w:tc>
      </w:tr>
      <w:tr>
        <w:trPr/>
        <w:tc>
          <w:tcPr>
            <w:tcW w:w="43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24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0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6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2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r>
      <w:tr>
        <w:trPr/>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24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0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2"/>
        <w:gridCol w:w="60"/>
        <w:gridCol w:w="201"/>
        <w:gridCol w:w="539"/>
        <w:gridCol w:w="83"/>
        <w:gridCol w:w="83"/>
        <w:gridCol w:w="174"/>
        <w:gridCol w:w="467"/>
        <w:gridCol w:w="83"/>
        <w:gridCol w:w="83"/>
        <w:gridCol w:w="85"/>
        <w:gridCol w:w="547"/>
        <w:gridCol w:w="257"/>
        <w:gridCol w:w="83"/>
        <w:gridCol w:w="186"/>
        <w:gridCol w:w="690"/>
        <w:gridCol w:w="83"/>
        <w:gridCol w:w="83"/>
        <w:gridCol w:w="174"/>
        <w:gridCol w:w="677"/>
        <w:gridCol w:w="83"/>
        <w:gridCol w:w="83"/>
        <w:gridCol w:w="83"/>
        <w:gridCol w:w="614"/>
        <w:gridCol w:w="212"/>
      </w:tblGrid>
      <w:tr>
        <w:trPr/>
        <w:tc>
          <w:tcPr>
            <w:tcW w:w="4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41"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57"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275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41"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6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57"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6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1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r>
      <w:tr>
        <w:trPr/>
        <w:tc>
          <w:tcPr>
            <w:tcW w:w="44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12" w:type="dxa"/>
            <w:tcBorders/>
            <w:shd w:fill="CCEEFF" w:val="clear"/>
            <w:vAlign w:val="center"/>
          </w:tcPr>
          <w:p>
            <w:pPr>
              <w:pStyle w:val="TableContents"/>
              <w:bidi w:val="0"/>
              <w:spacing w:before="0" w:after="283"/>
              <w:jc w:val="left"/>
              <w:rPr/>
            </w:pPr>
            <w:r>
              <w:rPr/>
              <w:t> </w:t>
            </w:r>
          </w:p>
        </w:tc>
      </w:tr>
      <w:tr>
        <w:trPr/>
        <w:tc>
          <w:tcPr>
            <w:tcW w:w="44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21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6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6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5,672</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5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2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r>
      <w:tr>
        <w:trPr/>
        <w:tc>
          <w:tcPr>
            <w:tcW w:w="44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2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6,420</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6,092</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Cost of revenues: </w:t>
      </w:r>
      <w:r>
        <w:rPr>
          <w:rFonts w:ascii="Times New Roman" w:hAnsi="Times New Roman"/>
          <w:caps w:val="false"/>
          <w:smallCaps w:val="false"/>
          <w:sz w:val="20"/>
        </w:rPr>
        <w:t>Our total cost of revenues decreased to US$1.99 million and US$0.50 million for the six and three months ended June 30, 2025, respectively, from US$9.55 million and US$6.09 million for the six and three months ended June 30, 2024, respectively. Our cost of revenues primarily consists of search engine marketing resources purchased from key search engines, influencer agency costs, cost of marketing services, amortization of intellectual property cost, software platform amortization cost related to our blockchain-based SaaS service, costs relating to enhancing our blockchain-based SaaS services and other direct costs associated with providing our services. The decrease in our total cost of revenues for the six and three months ended June 30, 2025 was primarily due to the reduced costs associated with distribution of the right to use search engine marketing service purchased from key search engines during the periods. This decrease was in line with the decrease in the related revenues 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for Internet advertising and marketing service: These primarily consist of fees paid to service providers who support delivering media planning, creative development, and digital ad management services to our Hong Kong and overseas clients. Our costs also include the cost of operating our influencer marketing services which includes the fees for collaborating with various influencer agencies. For the six and three months ended June 30, 2025, cost of revenues for internet advertising and marketing services were US$1.32 million and US$0.44 million, respectively, compared with nil for the six and three months ended June 30, 2024. Our gross margins for our internet advertising and data service for the six and three months ended June 30, 2025 were 8.1% and 5.5%, respectively. We did not recognize any gross margins for the six and three months ended June 30,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for distribution of the right to use search engine marketing service: These costs represent direct search engine resources consumed for the right to use search engine marketing service that we purchased from key search engines and distributed to our customers. We purchased these search engine resources from well-known search engines and/or their delegated agencies in China, for example, Baidu, Qihu 360 and Sohu (Sogou) etc. We purchased the resources in relatively large amounts under our own name at a relatively lower rate compared to the market rates. We charged our clients the actual cost they consumed on search engines for the use of this service and a premium at certain percentage of that actual consumed cost. For the six and three months ended June 30, 2025, our total cost of revenues for distribution of the right to use search engine marketing service was US$0.04 million and nil, respectively, compared with US$9.13 million and US$5.67 million for the same periods last year. The decrease in cost of revenues for the six and three months ended June 30, 2024 was in line with the decrease in revenues from this business category. Gross margin rate of this business category was 20.4% and nil for the six and three months ended June 30, 2025, respectively, compared with 0.8% and -0.04% gross margin rate incurred for the same periods last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Blockchain-based SaaS services: For the six months and three months ended June 30, 2025, cost for our blockchain-based SaaS services was approximately US$0.56 million and nil, respectively, compared with approximately US$0.42 million for both the six and three months ended June 30, 2024. Costs for our blockchain-based SaaS services consist of the amortized cost of our self-developed BIF platform and costs relating to enhancing our blockchain-based SaaS services. Gross margin rate of this business category was 8.9% and nil for the six and three months ended June 30, 2025, respectively, compared with 44% gross margin rate for the same periods last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both"/>
        <w:rPr>
          <w:rFonts w:ascii="Times New Roman" w:hAnsi="Times New Roman"/>
          <w:b/>
          <w:caps w:val="false"/>
          <w:smallCaps w:val="false"/>
          <w:sz w:val="20"/>
        </w:rPr>
      </w:pPr>
      <w:r>
        <w:rPr>
          <w:rFonts w:ascii="Times New Roman" w:hAnsi="Times New Roman"/>
          <w:b/>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foregoing, for the six months ended June 30, 2025, we incurred a gross profit of approximately US$0.21 million, compared with a gross profit of approximately US$0.40 million for the six months ended June 30, 2024. For the three months ended June 30, 2025, our gross profit was approximately US$0.05 million, compared to approximately US$0.33 million for the three months ended June 30, 2024. Our overall gross margin was 9.4% and 8.6% for the six and three months ended June 30, 2025, respectively, compared with 4.0% and 5.1% for the same periods last year. The increase in overall gross margin was primarily due to the increase in revenue of our higher-margin internet advertising and related marketing service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operating expenses consist of sales and marketing expenses, general and administrative expenses and research and development expenses. The following tables set forth our operating expenses, divided into their major categories by amount and as a percentage of our total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010" w:type="dxa"/>
        <w:jc w:val="left"/>
        <w:tblInd w:w="0" w:type="dxa"/>
        <w:tblLayout w:type="fixed"/>
        <w:tblCellMar>
          <w:top w:w="0" w:type="dxa"/>
          <w:left w:w="0" w:type="dxa"/>
          <w:bottom w:w="0" w:type="dxa"/>
          <w:right w:w="0" w:type="dxa"/>
        </w:tblCellMar>
      </w:tblPr>
      <w:tblGrid>
        <w:gridCol w:w="3005"/>
        <w:gridCol w:w="60"/>
        <w:gridCol w:w="274"/>
        <w:gridCol w:w="1064"/>
        <w:gridCol w:w="131"/>
        <w:gridCol w:w="131"/>
        <w:gridCol w:w="204"/>
        <w:gridCol w:w="1300"/>
        <w:gridCol w:w="406"/>
        <w:gridCol w:w="131"/>
        <w:gridCol w:w="274"/>
        <w:gridCol w:w="1064"/>
        <w:gridCol w:w="131"/>
        <w:gridCol w:w="131"/>
        <w:gridCol w:w="204"/>
        <w:gridCol w:w="1300"/>
        <w:gridCol w:w="20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4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06"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31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4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31"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406"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3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31"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9,951</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4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40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4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030" w:type="dxa"/>
        <w:jc w:val="left"/>
        <w:tblInd w:w="0" w:type="dxa"/>
        <w:tblLayout w:type="fixed"/>
        <w:tblCellMar>
          <w:top w:w="0" w:type="dxa"/>
          <w:left w:w="0" w:type="dxa"/>
          <w:bottom w:w="0" w:type="dxa"/>
          <w:right w:w="0" w:type="dxa"/>
        </w:tblCellMar>
      </w:tblPr>
      <w:tblGrid>
        <w:gridCol w:w="3005"/>
        <w:gridCol w:w="60"/>
        <w:gridCol w:w="302"/>
        <w:gridCol w:w="812"/>
        <w:gridCol w:w="143"/>
        <w:gridCol w:w="143"/>
        <w:gridCol w:w="225"/>
        <w:gridCol w:w="1279"/>
        <w:gridCol w:w="448"/>
        <w:gridCol w:w="143"/>
        <w:gridCol w:w="302"/>
        <w:gridCol w:w="1178"/>
        <w:gridCol w:w="143"/>
        <w:gridCol w:w="143"/>
        <w:gridCol w:w="225"/>
        <w:gridCol w:w="1279"/>
        <w:gridCol w:w="20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6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48"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143" w:type="dxa"/>
            <w:tcBorders/>
            <w:vAlign w:val="center"/>
          </w:tcPr>
          <w:p>
            <w:pPr>
              <w:pStyle w:val="TableContents"/>
              <w:bidi w:val="0"/>
              <w:spacing w:before="0" w:after="283"/>
              <w:ind w:left="0" w:right="0" w:hanging="0"/>
              <w:jc w:val="center"/>
              <w:rPr/>
            </w:pPr>
            <w:r>
              <w:rPr/>
              <w:t> </w:t>
            </w:r>
          </w:p>
        </w:tc>
        <w:tc>
          <w:tcPr>
            <w:tcW w:w="302"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2968" w:type="dxa"/>
            <w:gridSpan w:val="5"/>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6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43" w:type="dxa"/>
            <w:tcBorders>
              <w:bottom w:val="single" w:sz="2" w:space="0" w:color="000000"/>
            </w:tcBorders>
            <w:tcMar>
              <w:bottom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448" w:type="dxa"/>
            <w:tcBorders>
              <w:bottom w:val="single" w:sz="2" w:space="0" w:color="000000"/>
            </w:tcBorders>
            <w:tcMar>
              <w:bottom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4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43" w:type="dxa"/>
            <w:tcBorders>
              <w:bottom w:val="single" w:sz="2" w:space="0" w:color="000000"/>
            </w:tcBorders>
            <w:tcMar>
              <w:bottom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2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3"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6,420</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2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2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4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3"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2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2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44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2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44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3"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3" w:type="dxa"/>
            <w:tcBorders/>
            <w:shd w:fill="FFFF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Operating Expenses: </w:t>
      </w:r>
      <w:r>
        <w:rPr>
          <w:rFonts w:ascii="Times New Roman" w:hAnsi="Times New Roman"/>
          <w:caps w:val="false"/>
          <w:smallCaps w:val="false"/>
          <w:sz w:val="20"/>
        </w:rPr>
        <w:t>Our total operating expenses was approximately US$1.47 million and US$0.73 million for the six and three months ended June 30, 2025, respectively, compared with approximately US$1.62 million and US$0.63 million for the six and three months ended June 30, 2024,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marketing expenses: We did not recognize any sales and marketing expenses for the six and three months ended June 30, 2025, compared with US$0.13 million and US$0.05 million for the six and three months ended June 30, 2024, respectively. Our sales and marketing expenses primarily consist of staff salaries and benefits, performance bonuses, travel expenses, communication expenses and other general office expenses of our sales department. Due to certain aspects of our business nature, the fluctuation of our sales and marketing expenses usually does not have a direct linear relationship with the fluctuation of our net revenues.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General and administrative expenses was US$1.47 million and US$0.73 million for the six and three months ended June 30, 2025, respectively, compared with US$1.49 million and US$0.58 million for the six and three months ended June 30, 2024, respectively. Our general and administrative expenses primarily consist of salaries and benefits of management, accounting, human resources and administrative personnel, office rentals, depreciation of office equipment, allowance for doubtful accounts, professional service fees, maintenance, utilities and other general office expenses of our supporting and administrative departments. For the six months ended June 30, 2025, the change in our general and administrative expenses was primarily due to the following reasons: (1) the increase in share-based compensation expenses of approximately US$0.29 million, (2) the increase in allowance for expected credit losses of approximately US$0.03 million; and (3) the decrease in other general administrative expenses of approximately US$0.34 million, as a result of the cost reduction plan executed by the management. For the three months ended June 30, 2025, the changes in our general and administrative expenses was primarily attributable to the following reasons: (1) the increase in share-based compensation expenses of approximately US$0.15 million, (2) the increase in other general administrative expenses of approximately US$0.08 million, as a result of the cost reduction plan executed by management; and (3) the decrease in allowance for expected credit losses of approximately US$0.07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Loss from operations: </w:t>
      </w:r>
      <w:r>
        <w:rPr>
          <w:rFonts w:ascii="Times New Roman" w:hAnsi="Times New Roman"/>
          <w:caps w:val="false"/>
          <w:smallCaps w:val="false"/>
          <w:sz w:val="20"/>
        </w:rPr>
        <w:t>As a result of the foregoing, we incurred a loss from operations of approximately US$1.26 million and US$1.22 million for the six months ended June 30, 2025 and 2024, respectively. For the three months ended June 30, 2025 and 2024, we incurred a loss from operations of approximately US$0.68 million and US$0.30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Income: </w:t>
      </w:r>
      <w:r>
        <w:rPr>
          <w:rFonts w:ascii="Times New Roman" w:hAnsi="Times New Roman"/>
          <w:caps w:val="false"/>
          <w:smallCaps w:val="false"/>
          <w:sz w:val="20"/>
        </w:rPr>
        <w:t>For the six and three months ended June 30, 2025, interest income recognized was primarily related to the interest earned from the short-term loans we provided to unrelated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Impairment on long-term investments: </w:t>
      </w:r>
      <w:r>
        <w:rPr>
          <w:rFonts w:ascii="Times New Roman" w:hAnsi="Times New Roman"/>
          <w:caps w:val="false"/>
          <w:smallCaps w:val="false"/>
          <w:sz w:val="20"/>
        </w:rPr>
        <w:t>For the six and three months ended June 30, 2025, we did not recognize any impairment loss on long-term investments. For the six and three months ended June 30, 2024, we recognized approximately US$0.002 million impairment loss on long-term investments, which was related to our cash investments in one of our unconsolidated investee entities whose business activities had become dormant.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Loss before income tax benefit/(expense): </w:t>
      </w:r>
      <w:r>
        <w:rPr>
          <w:rFonts w:ascii="Times New Roman" w:hAnsi="Times New Roman"/>
          <w:caps w:val="false"/>
          <w:smallCaps w:val="false"/>
          <w:sz w:val="20"/>
        </w:rPr>
        <w:t>As a result of the foregoing, our loss before income tax benefit was approximately US$1.17 million and US$1.08 million for the six months ended June 30, 2025 and 2024, respectively. For the three months ended June 30, 2025, we incurred an approximately US$0.64 million loss before income tax expense, compared with an approximately US$0.23 million loss before income tax expense for the three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Income Tax benefit/(expense):</w:t>
      </w:r>
      <w:r>
        <w:rPr>
          <w:rFonts w:ascii="Times New Roman" w:hAnsi="Times New Roman"/>
          <w:caps w:val="false"/>
          <w:smallCaps w:val="false"/>
          <w:sz w:val="20"/>
        </w:rPr>
        <w:t xml:space="preserve"> For the six months ended June 30, 2025 and 2024, we recognized approximately nil and US$0.004 million, respectively, in income tax benefits. For the three months ended June 30, 2025 and 2024, we recognized approximately US$0.001 million and US$0.001 million, respectively, in income tax benefits. These benefits were related to net operating loss incurred by one of our operating VIEs during each respective period. We anticipate that these losses will likely be utilized against future earnings of this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Net loss: </w:t>
      </w:r>
      <w:r>
        <w:rPr>
          <w:rFonts w:ascii="Times New Roman" w:hAnsi="Times New Roman"/>
          <w:caps w:val="false"/>
          <w:smallCaps w:val="false"/>
          <w:sz w:val="20"/>
        </w:rPr>
        <w:t>As a result of the foregoing, for the six months ended June 30, 2025 and 2024, we incurred a total net loss of approximately US$1.17 million and US$1.08 million, respectively. For the three months ended June 30, 2025, we recognized a net loss of approximately US$0.64 million, compared with a net loss of approximately US$0.23 million for the three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Transfer within Our Organization and the Related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are a Nevada holding company with operations primarily conducted in China through our PRC subsidiaries, VIEs and VIEs’ subsidiaries. The intercompany flow of funds within our organization is effected through capital contributions and intercompany loans. We do not have written policies regarding intercompany cash transfer within our organization. In accordance with our current internal cash management practices, all intercompany cash transfer within our organization requires prior approval by our financial director and our chief financial officer/or our chief executive officer before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As we conduct our operations primarily in China through our PRC subsidiaries, VIEs and their subsidiaries, and we intend to transfer most of our cash raised from the U.S. stock market to these operating entities to support their operations and expansions, our ability to pay dividends to U.S. investors may depend on receiving distributions from our PRC subsidiaries and settlement of the amounts owed under the VIE agreements from the consolidated VIEs. Any limitation on the ability of our PRC subsidiaries and the consolidated VIEs to make payments to us, or the tax implications of making payments to us, could have a material adverse effect on our ability to pay dividends to our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PRC regulations currently permit payment of dividends only out of accumulated profits, as determined in accordance with PRC accounting standards and regulations. Our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our PRC subsidiaries, the consolidated VIEs and their subsidiaries are restricted in their ability to transfer a portion of their net assets to us.  As of June 30, 2025 and December 31, 2024, net assets restricted in the aggregate, which include paid-in capital and statutory reserve funds of our PRC subsidiaries, the consolidated VIEs and their subsidiaries that are included in our consolidated net assets, were approximately US$13.18 million and US$13.31 million, respectively. Appropriations to the enterprise expansion fund and staff welfare and bonus fund of a foreign-invested PRC entity and appropriation to the discretionary surplus reserve of other PRC entities are at the discretion of the board of directors. To date, none of our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We own our PRC subsidiaries through China Net HK. China Net HK currently does not hold a Hong Kong tax resident certificate from the Inland Revenue Department of Hong Kong, there is no assurance that the reduced withholding tax rate will be available for us. If China Net HK is not considered to be the “beneficial owner” of the dividends by the Chinese local tax authority, any dividends paid to it by our PRC subsidiaries would be subject to a withholding tax rate of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There are no restrictions for the consolidated VIEs to settle the amounts owed under the VIE agreements to our WFOE. However, arrangements and transactions among affiliated entities may be subject to audit or challenge by the PRC tax authorities. If at any time the VIE agreements and the related fee structure between the consolidated VIEs and our WFOE is determined to be non-substantive and disallowed by Chinese tax authorities, the consolidated VIEs could, as a matter of last resort, make a non-deductible transfer to our WFOE for the amounts owed under the VIE agreements. This would result in such transfer being non-deductible expenses for the consolidated VIEs but still taxable income for our WFOE. If this happens, it may increase our tax burden and reduce our after-tax income in the PRC, and may materially and adversely affect our ability to make distributions to the holding company. Our management is of the view that the likelihood that this scenario would happen is remote. To date, the VIEs have settled to our WFOE the amount owed under the VIE agreements of RMB15.25 million (approximately US$2.27 million)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PRC subsidiaries generate all of their revenue in Renminbi, Renminbi is not freely convertible into other currencies. As a result, any restriction on currency exchange may limit the ability of our PRC subsidiaries to pay dividends/make distributions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us for us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our PRC subsidiaries may purchase foreign currency for settlement of current account transactions, including payment of dividends to us, without the approval of the State Administration of Foreign Exchange of China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the SAFE and other relevant Chinese governmental authorities. This could affect our ability to obtain foreign currency through debt or equity financing for our PRC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To date, none of our subsidiaries has made any distribution of earnings or issued any dividends to their respective shareholder in or outside of China, or to the Nevada holding company, and the Nevada holding company has never declared or paid any cash dividends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do not have any present plan to make any distribution of earnings/issue any dividends directly or indirectly to our Nevada holding company or pay any cash dividends on our common stock in the foreseeable future because we currently intend to retain most, if not all, of our available funds and any future earnings to operate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Flow Analysis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Cash and cash equivalents represent cash on hand and deposits held at call with banks. We consider all highly liquid investments with original maturities of three months or less at the time of purchase to be cash equivalents. As of June 30, 2025, we had cash and cash equivalents of approximately US$1.7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liquidity needs include (i) net cash used in operating activities that consists of (a) cash required to fund the initial build-out, continued expansion of our network and new services and (b) our working capital needs, which include deposits and advance payments to search engine resources and other advertising resources providers, payment of our operating expenses and financing of our accounts receivable; and (ii) net cash used in investing activities that consist of the investment to expand technologies related to our existing and future business activities, investment to enhance the functionality of our current advertising portals for providing advertising, marketing and data services and to secure the safety of our general network, and investment to establish joint ventures with strategic partners for the development of new technologies and services. To date, we have financed our liquidity needs primarily through proceeds we generated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detailed information about our net cash flow for the periods indicated:</w:t>
      </w:r>
    </w:p>
    <w:p>
      <w:pPr>
        <w:pStyle w:val="TextBody"/>
        <w:bidi w:val="0"/>
        <w:spacing w:before="0" w:after="0"/>
        <w:ind w:left="0" w:right="0" w:hanging="0"/>
        <w:jc w:val="left"/>
        <w:rPr>
          <w:caps w:val="false"/>
          <w:smallCaps w:val="false"/>
        </w:rPr>
      </w:pPr>
      <w:r>
        <w:rPr>
          <w:caps w:val="false"/>
          <w:smallCaps w:val="false"/>
        </w:rPr>
        <w:t> </w:t>
      </w:r>
    </w:p>
    <w:tbl>
      <w:tblPr>
        <w:tblW w:w="7407" w:type="dxa"/>
        <w:jc w:val="left"/>
        <w:tblInd w:w="0" w:type="dxa"/>
        <w:tblLayout w:type="fixed"/>
        <w:tblCellMar>
          <w:top w:w="0" w:type="dxa"/>
          <w:left w:w="0" w:type="dxa"/>
          <w:bottom w:w="0" w:type="dxa"/>
          <w:right w:w="0" w:type="dxa"/>
        </w:tblCellMar>
      </w:tblPr>
      <w:tblGrid>
        <w:gridCol w:w="4250"/>
        <w:gridCol w:w="60"/>
        <w:gridCol w:w="282"/>
        <w:gridCol w:w="893"/>
        <w:gridCol w:w="180"/>
        <w:gridCol w:w="134"/>
        <w:gridCol w:w="282"/>
        <w:gridCol w:w="1231"/>
        <w:gridCol w:w="9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0" w:type="dxa"/>
            <w:tcBorders>
              <w:bottom w:val="single" w:sz="2" w:space="0" w:color="000000"/>
            </w:tcBorders>
            <w:tcMar>
              <w:bottom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5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 of US dollars</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4"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18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2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9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18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2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9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currency exchange rate changes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4"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894</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(307</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 xml:space="preserve">Net cash used in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our net cash used in operating activities of approximately US$0.30 million were primarily attributable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excluding approximately US$0.09 million of non-cash expenses of depreciation and amortizations; approximately US$0.02 million amortization of operating lease right-of-use assets, approximately US$0.29 million in share-based compensation expense, approximately US$0.69 million allowance for credit losses and approximately US$0.10 million non-operating income, yielded the non-cash, non-operating items excluded net loss of approximately US$0.18 million.</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245"/>
        <w:gridCol w:w="73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80"/>
        <w:gridCol w:w="540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decreased by approximately US$1.12 million;</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80"/>
        <w:gridCol w:w="518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increased by approximately US$0.02 million;</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80"/>
        <w:gridCol w:w="545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 decreased by approximately US$0.001 million;</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80"/>
        <w:gridCol w:w="6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 from customers increased by approximately US$0.18 million; and</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80"/>
        <w:gridCol w:w="711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current liabilities and taxes payable increased by approximately US$0.02 million.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offset by the use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80"/>
        <w:gridCol w:w="671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and deposit to suppliers increased by approximately US$1.03 million;</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80"/>
        <w:gridCol w:w="593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 decreased by approximately US$0.01 million;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accruals and operating lease liabilities decreased by approximately US$0.43 million in the aggregate, due to settlement of these operating liabilities during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2024, our net cash used in operating activities of approximately US$1.03 million were primarily attributable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excluding approximately US$0.48 million of non-cash expenses of depreciation and amortizations; approximately US$0.02 million amortization of operating lease right-of-use assets, approximately US$0.002 million impairment on long-term investments, approximately US$0.003 million loss on disposal of fixed assets, approximately US$0.65 million allowance for credit losses, approximately US$0.004 million deferred tax benefit and approximately US$0.17 million non-operating income, yielded the non-cash, non-operating items excluded net loss of approximately US$0.10 million.</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245"/>
        <w:gridCol w:w="73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80"/>
        <w:gridCol w:w="518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increased by approximately US$0.14 million;</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80"/>
        <w:gridCol w:w="6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 from customers increased by approximately US$0.14 million; and</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80"/>
        <w:gridCol w:w="711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current liabilities and taxes payable increased by approximately US$0.42 million.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7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offset by the use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80"/>
        <w:gridCol w:w="537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increased by approximately US$1.03 million;</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80"/>
        <w:gridCol w:w="671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and deposit to suppliers increased by approximately US$0.38 million;</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80"/>
        <w:gridCol w:w="57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 increased by approximately US$0.005 million;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accruals and operating lease liabilities decreased by approximately US$0.21 million in the aggregate, due to settlement of these operating liabilities during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Net cash provided by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(1) we purchased office equipment of approximately US$0.07 million; (2) we received repayment of short-term loans and interest income of approximately US$1.12 million; and (3) we purchased intellectual property of approximately US$0.60 million through the acquisition of Rahula. In the aggregate, these transactions resulted in a net cash inflow from investing activities of approximately US$0.46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2024, (1) we purchased office equipment of approximately US$0.003 million; (2) we made an additional investment of approximately US$0.002 million to one of our unconsolidated investee entities; (3) we collected US$0.49 million in short-term loan principal from short-term loans we provided to unrelated parties in previous periods; (4) we received total interest payment of approximately US$0.41 million, which was attributable to short-term loans we provided to unrelated parties in previous periods; (5) we received approximately US$0.15 million in proceeds from the disposal of long-term investments; (6) we acquired cash of approximately US$0.009 million through the acquisition of a 51% equity interest in Beijing Yi En; and (7) we made deposits on investment contracts of approximately US$0.40 million. In the aggregate, these transactions resulted in a net cash inflow from investing activities of approximately US$0.65 million for the six months ended June 30, 2024.</w:t>
      </w:r>
    </w:p>
    <w:p>
      <w:pPr>
        <w:pStyle w:val="TextBody"/>
        <w:bidi w:val="0"/>
        <w:spacing w:before="0" w:after="0"/>
        <w:ind w:left="3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Net cash provided by financing activities</w:t>
      </w:r>
    </w:p>
    <w:p>
      <w:pPr>
        <w:pStyle w:val="TextBody"/>
        <w:bidi w:val="0"/>
        <w:spacing w:before="0" w:after="0"/>
        <w:ind w:left="300" w:right="0" w:firstLine="72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our cash provided by financing activities included the following transactions: we received advances from investors of approximately US$0.75 million.</w:t>
      </w:r>
    </w:p>
    <w:p>
      <w:pPr>
        <w:pStyle w:val="TextBody"/>
        <w:bidi w:val="0"/>
        <w:spacing w:before="0" w:after="0"/>
        <w:ind w:left="300" w:right="0" w:firstLine="72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2024, capital contribution from noncontrolling interests was approximately US$0.07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Future Liquidity, Material Cash Requirements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future short-term liquidity needs within 12 months from the date hereof primarily include working capital for influencer marketing and digital marketing services and payments for our operating expenses, which mainly consist of office rentals and employee salary and benefit.</w:t>
      </w:r>
    </w:p>
    <w:p>
      <w:pPr>
        <w:pStyle w:val="TextBody"/>
        <w:bidi w:val="0"/>
        <w:spacing w:before="0" w:after="0"/>
        <w:ind w:left="300" w:right="0" w:firstLine="72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In addition, in order to further develop our core business, i.e., our Internet advertising and related marketing service business, broaden and diversify the online marketing channels for customers, reinforce our industry competitive advantage, we are actively seeking to acquire businesses and build teams with AI capabilities and proprietary intellectual properties that enable more accurate marketing solutions and cost efficient content creation. 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300" w:right="0" w:firstLine="72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current core business is to provide advertising and marketing services to small and medium enterprises (“SMEs”), which is particularly sensitive to changes in general economic conditions. However, as we wind down our search engine marketing distribution service in the PRC, we are seeing an improvement in our gross margins as well as significantly reduced operating expenses that will improve our cash flow and liquidity in the next 12 months.</w:t>
      </w:r>
    </w:p>
    <w:p>
      <w:pPr>
        <w:pStyle w:val="TextBody"/>
        <w:bidi w:val="0"/>
        <w:spacing w:before="0" w:after="0"/>
        <w:ind w:left="300" w:right="0" w:firstLine="72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In addition, for the next 12 months from the date hereof, we anticipate to generate additional cash inflows and/or improve our liquidity through the following: (1) our short-term working capital loans provided to unrelated parties will mature within the next 12 months that we anticipate collecting these loan principals and the related interest income within the next 12 months; (2) equity financing for which we have already entered into securities purchase agreements; (3) we plan to reduce our operating costs through optimizing the personnel structure among different offices and reduce our office leasing spaces, if needed. This may incur incremental costs related to employee layoff compensation and contract termination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80" w:right="0" w:firstLine="720"/>
        <w:jc w:val="both"/>
        <w:rPr>
          <w:rFonts w:ascii="Times New Roman" w:hAnsi="Times New Roman"/>
          <w:caps w:val="false"/>
          <w:smallCaps w:val="false"/>
          <w:sz w:val="20"/>
        </w:rPr>
      </w:pPr>
      <w:r>
        <w:rPr>
          <w:rFonts w:ascii="Times New Roman" w:hAnsi="Times New Roman"/>
          <w:caps w:val="false"/>
          <w:smallCaps w:val="false"/>
          <w:sz w:val="20"/>
        </w:rPr>
        <w:t>If we fail to achieve these goals, we may need additional financing to execute our business plan. If additional financing is required, we cannot predict whether this additional financing will be in the form of equity, debt, or another form, and we may not be able to obtain the necessary additional capital on a timely basis, on acceptable terms, or at all. In the event that financing sources are not available, or that we are unsuccessful in increasing our gross profit margin and reducing operating losses, we may be unable to implement our current plans for expansion, repay debt obligations or respond to competitive pressures, any of which would have a material adverse effect on our business, prospects, financial condition and results of operations. These factors raise substantial doubt about our ability to continue as a going concern within one year after the date that the financial statements are issued.</w:t>
      </w:r>
      <w:bookmarkStart w:id="15" w:name="i2ends"/>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as of June 30, 2025 have been prepared under the assumption that we will continue as a going concern, which contemplates, among other things, the realization of assets and the satisfaction of liabilities in the normal course of business over a reasonable period of time. Our ability to continue as a going concern is dependent upon our uncertain ability to increase gross profit margin and reduce operating loss from our core business and/or obtain additional equity and/or debt financing. The accompanying financial statements as of June 30, 2025 do not include any adjustments that might result from the outcome of these uncertainties. If we are unable to continue as a going concern, we may have to liquidate our assets and may receive less than the value at which those assets are carried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firstLine="720"/>
        <w:jc w:val="both"/>
        <w:rPr>
          <w:rFonts w:ascii="Times New Roman" w:hAnsi="Times New Roman"/>
          <w:caps w:val="false"/>
          <w:smallCaps w:val="false"/>
          <w:sz w:val="20"/>
        </w:rPr>
      </w:pPr>
      <w:r>
        <w:rPr>
          <w:rFonts w:ascii="Times New Roman" w:hAnsi="Times New Roman"/>
          <w:caps w:val="false"/>
          <w:smallCaps w:val="false"/>
          <w:sz w:val="20"/>
        </w:rPr>
        <w:t>In the long term, beyond the next 12 months, we plan to further broaden the application scenarios of our blockchain-based SaaS services to be offered to the customers, continue expanding our core Internet advertising and marketing business through acquisitions, and develop Internet advertising and marketing channels that target overseas Internet users. As such, we may decide to enhance our liquidity position or increase our cash reserve for future investments through additional equity financing in the U.S. capital market. This would result in further dilution to our shareholders. We cannot assure you that such financing will be available in amounts or on terms acceptable to us,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Disclosure of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2022, we obtained a 9.9% equity interest in Hunan Yong Fu Xiang Health Management Co., Ltd (“Yong Fu Xiang”), through subscription of a RMB6.73 million (approximately US$0.98 million) registered capital of the entity in cash, which amount was committed to be paid up before December 31, 2065.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firstLine="720"/>
        <w:jc w:val="both"/>
        <w:rPr>
          <w:rFonts w:ascii="Times New Roman" w:hAnsi="Times New Roman"/>
          <w:caps w:val="false"/>
          <w:smallCaps w:val="false"/>
          <w:sz w:val="20"/>
        </w:rPr>
      </w:pPr>
      <w:r>
        <w:rPr>
          <w:rFonts w:ascii="Times New Roman" w:hAnsi="Times New Roman"/>
          <w:caps w:val="false"/>
          <w:smallCaps w:val="false"/>
          <w:sz w:val="20"/>
        </w:rPr>
        <w:t>In June 2023, we obtained a 9.9% equity interest in Wuhan Ju Liang, through subscription of a RMB0.99 million (approximately US$0.14 million) registered capital of the entity in cash, which amount was committed to be paid up before August 1, 2052.</w:t>
      </w:r>
    </w:p>
    <w:p>
      <w:pPr>
        <w:pStyle w:val="TextBody"/>
        <w:bidi w:val="0"/>
        <w:spacing w:before="0" w:after="0"/>
        <w:ind w:left="2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bookmarkStart w:id="16" w:name="i3"/>
      <w:bookmarkEnd w:id="16"/>
    </w:p>
    <w:p>
      <w:pPr>
        <w:pStyle w:val="TextBody"/>
        <w:bidi w:val="0"/>
        <w:spacing w:before="0" w:after="0"/>
        <w:ind w:left="280" w:right="0" w:firstLine="720"/>
        <w:jc w:val="both"/>
        <w:rPr>
          <w:caps w:val="false"/>
          <w:smallCaps w:val="false"/>
        </w:rPr>
      </w:pPr>
      <w:r>
        <w:rPr>
          <w:caps w:val="false"/>
          <w:smallCaps w:val="false"/>
        </w:rPr>
        <w:t> </w:t>
      </w:r>
    </w:p>
    <w:p>
      <w:pPr>
        <w:pStyle w:val="TextBody"/>
        <w:bidi w:val="0"/>
        <w:spacing w:before="0" w:after="0"/>
        <w:ind w:left="28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 to smaller reporting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Item 4.  Controls and Procedures</w:t>
      </w:r>
      <w:bookmarkStart w:id="17" w:name="i4"/>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principal executive officer and principal accounting and financial officer, we conducted an evaluation of the effectiveness of our disclosure controls and procedures as of the fiscal quarter ended June 30, 2025, as such term is defined in Rules 13a-15(e) and 15d-15(e) under the Exchange Act. Based on this evaluation, our principal executive officer and principal financial officer have concluded that during the period covered by this report, the Company’s disclosure controls and procedures were effective as of such date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0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fiscal quarter of 2025 covered by this Quarterly Report on Form 10-Q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 xml:space="preserve">PART II. </w:t>
      </w:r>
      <w:r>
        <w:rPr>
          <w:rFonts w:ascii="Times New Roman" w:hAnsi="Times New Roman"/>
          <w:caps w:val="false"/>
          <w:smallCaps w:val="false"/>
          <w:sz w:val="20"/>
        </w:rPr>
        <w:t> </w:t>
      </w:r>
      <w:r>
        <w:rPr>
          <w:rFonts w:ascii="Times New Roman" w:hAnsi="Times New Roman"/>
          <w:b/>
          <w:caps w:val="false"/>
          <w:smallCaps w:val="false"/>
          <w:sz w:val="20"/>
        </w:rPr>
        <w:t>OTHER INFORMATION</w:t>
      </w:r>
      <w:bookmarkStart w:id="18" w:name="p2"/>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 xml:space="preserve">Item 1. </w:t>
      </w:r>
      <w:r>
        <w:rPr>
          <w:rFonts w:ascii="Times New Roman" w:hAnsi="Times New Roman"/>
          <w:caps w:val="false"/>
          <w:smallCaps w:val="false"/>
          <w:sz w:val="20"/>
        </w:rPr>
        <w:t> </w:t>
      </w:r>
      <w:r>
        <w:rPr>
          <w:rFonts w:ascii="Times New Roman" w:hAnsi="Times New Roman"/>
          <w:b/>
          <w:caps w:val="false"/>
          <w:smallCaps w:val="false"/>
          <w:sz w:val="20"/>
        </w:rPr>
        <w:t>Legal Proceedings</w:t>
      </w:r>
      <w:bookmarkStart w:id="19" w:name="p2i1"/>
      <w:bookmarkEnd w:id="1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not a party to any legal or administrative proceedings and are not aware of any pending or threatened legal or administrative proceedings against us in all material aspects. We may from time to time become a party to various legal or administrative proceedings arising in the ordinary course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b/>
          <w:caps w:val="false"/>
          <w:smallCaps w:val="false"/>
          <w:sz w:val="20"/>
        </w:rPr>
      </w:pPr>
      <w:r>
        <w:rPr>
          <w:rFonts w:ascii="Times New Roman" w:hAnsi="Times New Roman"/>
          <w:b/>
          <w:caps w:val="false"/>
          <w:smallCaps w:val="false"/>
          <w:sz w:val="20"/>
        </w:rPr>
        <w:t>Item 1A. Risk Factors</w:t>
      </w:r>
      <w:bookmarkStart w:id="20" w:name="p2i1a"/>
      <w:bookmarkEnd w:id="2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This information has been omitted based on the Company’s status as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Unregistered Sales of Equity Securities and Use of Proceeds</w:t>
      </w:r>
      <w:bookmarkStart w:id="21" w:name="p2i2"/>
      <w:bookmarkEnd w:id="2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Defaults Upon Senior Securities</w:t>
      </w:r>
      <w:bookmarkStart w:id="22" w:name="p2i3"/>
      <w:bookmarkEnd w:id="2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b/>
          <w:caps w:val="false"/>
          <w:smallCaps w:val="false"/>
          <w:sz w:val="20"/>
        </w:rPr>
      </w:pPr>
      <w:r>
        <w:rPr>
          <w:rFonts w:ascii="Times New Roman" w:hAnsi="Times New Roman"/>
          <w:b/>
          <w:caps w:val="false"/>
          <w:smallCaps w:val="false"/>
          <w:sz w:val="20"/>
        </w:rPr>
        <w:t>Item 4. Mine Safety Disclosures</w:t>
      </w:r>
      <w:bookmarkStart w:id="23" w:name="p2i4"/>
      <w:bookmarkEnd w:id="2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caps w:val="false"/>
          <w:smallCaps w:val="false"/>
          <w:sz w:val="20"/>
        </w:rPr>
        <w:t> </w:t>
      </w:r>
      <w:r>
        <w:rPr>
          <w:rFonts w:ascii="Times New Roman" w:hAnsi="Times New Roman"/>
          <w:b/>
          <w:caps w:val="false"/>
          <w:smallCaps w:val="false"/>
          <w:sz w:val="20"/>
        </w:rPr>
        <w:t>Other Information</w:t>
      </w:r>
      <w:bookmarkStart w:id="24" w:name="p2i5"/>
      <w:bookmarkEnd w:id="2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During our fiscal quarter ended June 30, 2025, none of our directors or officers informed us of the adoption or termination of a “Rule 10b5-1 trading arrangement” or “non-Rule 10b5-1 trading arrangement” as those terms are defined in Item 408(a) of Regulation S-K.</w:t>
      </w:r>
    </w:p>
    <w:p>
      <w:pPr>
        <w:pStyle w:val="TextBody"/>
        <w:bidi w:val="0"/>
        <w:spacing w:before="0" w:after="0"/>
        <w:ind w:left="30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Item 6. Exhibits</w:t>
      </w:r>
      <w:bookmarkStart w:id="25" w:name="p2i6"/>
      <w:bookmarkEnd w:id="2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The exhibits listed on the Exhibit Index below are provided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6"/>
        <w:gridCol w:w="60"/>
        <w:gridCol w:w="9389"/>
      </w:tblGrid>
      <w:tr>
        <w:trPr/>
        <w:tc>
          <w:tcPr>
            <w:tcW w:w="75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 Description</w:t>
            </w:r>
          </w:p>
        </w:tc>
      </w:tr>
      <w:tr>
        <w:trPr/>
        <w:tc>
          <w:tcPr>
            <w:tcW w:w="7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firstLine="100"/>
              <w:jc w:val="left"/>
              <w:rPr/>
            </w:pPr>
            <w:r>
              <w:rPr>
                <w:caps w:val="false"/>
                <w:smallCaps w:val="false"/>
              </w:rPr>
              <w:t xml:space="preserve">  </w:t>
            </w:r>
            <w:hyperlink w:anchor="ex_848585.htm">
              <w:r>
                <w:rPr>
                  <w:rStyle w:val="InternetLink"/>
                  <w:rFonts w:ascii="Times New Roman" w:hAnsi="Times New Roman"/>
                  <w:caps w:val="false"/>
                  <w:smallCaps w:val="false"/>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0"/>
              <w:ind w:left="0" w:right="0" w:hanging="0"/>
              <w:jc w:val="left"/>
              <w:rPr/>
            </w:pPr>
            <w:hyperlink w:anchor="ex_848585.htm">
              <w:r>
                <w:rPr>
                  <w:rStyle w:val="InternetLink"/>
                  <w:rFonts w:ascii="Times New Roman" w:hAnsi="Times New Roman"/>
                  <w:caps w:val="false"/>
                  <w:smallCaps w:val="false"/>
                  <w:sz w:val="20"/>
                </w:rPr>
                <w:t>Certification of the Principal Executive Officer pursuant to Rule 13A-14(A)/15D-14(A) of the Securities Exchange Act of 1934, as adopted pursuant to Section 302 of the Sarbanes-Oxley Act of 2002.</w:t>
              </w:r>
            </w:hyperlink>
          </w:p>
        </w:tc>
      </w:tr>
      <w:tr>
        <w:trPr/>
        <w:tc>
          <w:tcPr>
            <w:tcW w:w="7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firstLine="100"/>
              <w:jc w:val="left"/>
              <w:rPr/>
            </w:pPr>
            <w:r>
              <w:rPr>
                <w:caps w:val="false"/>
                <w:smallCaps w:val="false"/>
              </w:rPr>
              <w:t xml:space="preserve">  </w:t>
            </w:r>
            <w:hyperlink w:anchor="ex_848586.htm">
              <w:r>
                <w:rPr>
                  <w:rStyle w:val="InternetLink"/>
                  <w:rFonts w:ascii="Times New Roman" w:hAnsi="Times New Roman"/>
                  <w:caps w:val="false"/>
                  <w:smallCaps w:val="false"/>
                  <w:sz w:val="20"/>
                </w:rPr>
                <w:t>31.2</w:t>
              </w:r>
            </w:hyperlink>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0"/>
              <w:ind w:left="0" w:right="0" w:hanging="0"/>
              <w:jc w:val="left"/>
              <w:rPr/>
            </w:pPr>
            <w:hyperlink w:anchor="ex_848586.htm">
              <w:r>
                <w:rPr>
                  <w:rStyle w:val="InternetLink"/>
                  <w:rFonts w:ascii="Times New Roman" w:hAnsi="Times New Roman"/>
                  <w:caps w:val="false"/>
                  <w:smallCaps w:val="false"/>
                  <w:sz w:val="20"/>
                </w:rPr>
                <w:t>Certification of the Principal Accounting and Financial Officer pursuant to Rule 13A-14(A)/15D-14(A) of the Securities Exchange Act of 1934, as adopted pursuant to Section 302 of the Sarbanes-Oxley Act of 2002.</w:t>
              </w:r>
            </w:hyperlink>
          </w:p>
        </w:tc>
      </w:tr>
      <w:tr>
        <w:trPr/>
        <w:tc>
          <w:tcPr>
            <w:tcW w:w="7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firstLine="100"/>
              <w:jc w:val="left"/>
              <w:rPr/>
            </w:pPr>
            <w:r>
              <w:rPr>
                <w:caps w:val="false"/>
                <w:smallCaps w:val="false"/>
              </w:rPr>
              <w:t xml:space="preserve">  </w:t>
            </w:r>
            <w:hyperlink w:anchor="ex_848587.htm">
              <w:r>
                <w:rPr>
                  <w:rStyle w:val="InternetLink"/>
                  <w:rFonts w:ascii="Times New Roman" w:hAnsi="Times New Roman"/>
                  <w:caps w:val="false"/>
                  <w:smallCaps w:val="false"/>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0"/>
              <w:ind w:left="0" w:right="0" w:hanging="0"/>
              <w:jc w:val="left"/>
              <w:rPr/>
            </w:pPr>
            <w:hyperlink w:anchor="ex_848587.htm">
              <w:r>
                <w:rPr>
                  <w:rStyle w:val="InternetLink"/>
                  <w:rFonts w:ascii="Times New Roman" w:hAnsi="Times New Roman"/>
                  <w:caps w:val="false"/>
                  <w:smallCaps w:val="false"/>
                  <w:sz w:val="20"/>
                </w:rPr>
                <w:t>Certification of the Principal Executive Officer and of the Principal Accounting and Financial Officer pursuant to 18 U.S.C. 1350 (Section 906 of the Sarbanes-Oxley Act of 2002).</w:t>
              </w:r>
            </w:hyperlink>
          </w:p>
        </w:tc>
      </w:tr>
      <w:tr>
        <w:trPr/>
        <w:tc>
          <w:tcPr>
            <w:tcW w:w="7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firstLine="100"/>
              <w:jc w:val="left"/>
              <w:rPr>
                <w:caps w:val="false"/>
                <w:smallCaps w:val="false"/>
              </w:rPr>
            </w:pPr>
            <w:r>
              <w:rPr>
                <w:caps w:val="false"/>
                <w:smallCaps w:val="false"/>
              </w:rPr>
              <w:t xml:space="preserve">  </w:t>
            </w: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materials are filed herewith: (i) Inline XBRL Instance, (ii) Inline XBRL Taxonomy Extension Schema, (iii) Inline XBRL Taxonomy Extension Calculation, (iv) Inline XBRL Taxonomy Extension Labels, (v) Inline XBRL Taxonomy Extension Presentation, and (vi) Inline XBRL Taxonomy Extension Definition.</w:t>
            </w:r>
          </w:p>
        </w:tc>
      </w:tr>
      <w:tr>
        <w:trPr/>
        <w:tc>
          <w:tcPr>
            <w:tcW w:w="7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firstLine="100"/>
              <w:jc w:val="left"/>
              <w:rPr>
                <w:caps w:val="false"/>
                <w:smallCaps w:val="false"/>
              </w:rPr>
            </w:pPr>
            <w:r>
              <w:rPr>
                <w:caps w:val="false"/>
                <w:smallCaps w:val="false"/>
              </w:rPr>
              <w:t xml:space="preserve">  </w:t>
            </w: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8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6" w:name="signatures"/>
      <w:bookmarkEnd w:id="2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079" w:type="dxa"/>
        <w:jc w:val="left"/>
        <w:tblInd w:w="0" w:type="dxa"/>
        <w:tblLayout w:type="fixed"/>
        <w:tblCellMar>
          <w:top w:w="0" w:type="dxa"/>
          <w:left w:w="0" w:type="dxa"/>
          <w:bottom w:w="0" w:type="dxa"/>
          <w:right w:w="0" w:type="dxa"/>
        </w:tblCellMar>
      </w:tblPr>
      <w:tblGrid>
        <w:gridCol w:w="1850"/>
        <w:gridCol w:w="1040"/>
        <w:gridCol w:w="5189"/>
      </w:tblGrid>
      <w:tr>
        <w:trPr/>
        <w:tc>
          <w:tcPr>
            <w:tcW w:w="185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ZW DATA ACTION TECHNOLOGIES INC.</w:t>
            </w:r>
          </w:p>
        </w:tc>
      </w:tr>
      <w:tr>
        <w:trPr/>
        <w:tc>
          <w:tcPr>
            <w:tcW w:w="18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5189"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2025</w:t>
            </w:r>
          </w:p>
        </w:tc>
        <w:tc>
          <w:tcPr>
            <w:tcW w:w="1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1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Handong Cheng</w:t>
            </w:r>
          </w:p>
        </w:tc>
      </w:tr>
      <w:tr>
        <w:trPr/>
        <w:tc>
          <w:tcPr>
            <w:tcW w:w="185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Handong Cheng</w:t>
            </w:r>
          </w:p>
        </w:tc>
      </w:tr>
      <w:tr>
        <w:trPr/>
        <w:tc>
          <w:tcPr>
            <w:tcW w:w="185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 and Acting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and Principal Accounting and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jc w:val="center"/>
        <w:rPr/>
      </w:pPr>
      <w:r>
        <w:rPr/>
        <w:t>42</w:t>
      </w:r>
    </w:p>
    <w:p>
      <w:pPr>
        <w:pStyle w:val="TextBody"/>
        <w:bidi w:val="0"/>
        <w:spacing w:before="0" w:after="0"/>
        <w:ind w:left="0" w:right="0" w:hanging="0"/>
        <w:jc w:val="right"/>
        <w:rPr>
          <w:rFonts w:ascii="Times New Roman" w:hAnsi="Times New Roman"/>
          <w:b/>
          <w:caps w:val="false"/>
          <w:smallCaps w:val="false"/>
          <w:sz w:val="20"/>
        </w:rPr>
      </w:pPr>
      <w:bookmarkStart w:id="27" w:name="ex_848585.htm"/>
      <w:bookmarkStart w:id="28" w:name="ksex_848585"/>
      <w:bookmarkEnd w:id="27"/>
      <w:bookmarkEnd w:id="28"/>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Handong Cheng,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ZW Data Action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Chief Executive Officer</w:t>
        <w:br/>
        <w:t>(Principal Executive Officer)</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848586.htm"/>
      <w:bookmarkStart w:id="30" w:name="ksex_848586"/>
      <w:bookmarkEnd w:id="29"/>
      <w:bookmarkEnd w:id="30"/>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Handong Cheng,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ZW Data Action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Acting Chief Financial Officer</w:t>
        <w:br/>
        <w:t>(Principal Accounting and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1" w:name="ex_848587.htm"/>
      <w:bookmarkStart w:id="32" w:name="ksex_848587"/>
      <w:bookmarkEnd w:id="31"/>
      <w:bookmarkEnd w:id="32"/>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the undersigned hereby certifies, in his capacity as an officer of ZW Data Action Technologies Inc. (the “Company”), for the purposes of 18 U.S.C. Section 1350, as adopted pursuant to Section 906 of the Sarbanes-Oxley Act of 2002,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Quarterly Report of the Company on Form 10-Q for the quarter ended June 30, 2025 fully complies with the requirements of Section 13a-14(b) or 15d-14(b)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Chief Executive Officer</w:t>
        <w:b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Acting Chief Financial Officer</w:t>
        <w:br/>
        <w:t>(Principal Accounting and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22386</Words>
  <Characters>121120</Characters>
  <CharactersWithSpaces>147874</CharactersWithSpaces>
  <Paragraphs>10191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