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f8k_051325.htm"/>
      <w:bookmarkStart w:id="1" w:name="ksf8k_051325"/>
      <w:bookmarkEnd w:id="0"/>
      <w:bookmarkEnd w:id="1"/>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B_edei--DocumentType_c20250508__20"/>
      <w:bookmarkEnd w:id="2"/>
      <w:r>
        <w:rPr>
          <w:rFonts w:ascii="Times New Roman;Times;Serif" w:hAnsi="Times New Roman;Times;Serif"/>
          <w:b/>
          <w:i w:val="false"/>
          <w:caps w:val="false"/>
          <w:smallCaps w:val="false"/>
          <w:sz w:val="20"/>
        </w:rPr>
        <w:t>8-K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 THE</w:t>
        <w:br/>
        <w:t>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 May 13, 2025 (</w:t>
      </w:r>
      <w:bookmarkStart w:id="3" w:name="xdx_909_edei--DocumentPeriodEndDate_c202"/>
      <w:bookmarkEnd w:id="3"/>
      <w:r>
        <w:rPr>
          <w:rFonts w:ascii="Times New Roman;Times;Serif" w:hAnsi="Times New Roman;Times;Serif"/>
          <w:b w:val="false"/>
          <w:i w:val="false"/>
          <w:caps w:val="false"/>
          <w:smallCaps w:val="false"/>
          <w:sz w:val="20"/>
        </w:rPr>
        <w:t>May 8, 2025)</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bookmarkStart w:id="4" w:name="xdx_901_edei--EntityRegistrantName_c2025"/>
      <w:bookmarkEnd w:id="4"/>
      <w:r>
        <w:rPr>
          <w:rFonts w:ascii="Times New Roman;Times;Serif" w:hAnsi="Times New Roman;Times;Serif"/>
          <w:b w:val="false"/>
          <w:i w:val="false"/>
          <w:caps w:val="false"/>
          <w:smallCaps w:val="false"/>
          <w:sz w:val="20"/>
          <w:u w:val="single"/>
        </w:rPr>
        <w:t>ZW Data Action Technologies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jc w:val="center"/>
        <w:rPr>
          <w:caps w:val="false"/>
          <w:smallCaps w:val="false"/>
        </w:rPr>
      </w:pPr>
      <w:r>
        <w:rPr>
          <w:caps w:val="false"/>
          <w:smallCaps w:val="false"/>
        </w:rPr>
        <w:t> </w:t>
      </w:r>
    </w:p>
    <w:tbl>
      <w:tblPr>
        <w:tblW w:w="8745" w:type="dxa"/>
        <w:jc w:val="left"/>
        <w:tblInd w:w="0" w:type="dxa"/>
        <w:tblLayout w:type="fixed"/>
        <w:tblCellMar>
          <w:top w:w="0" w:type="dxa"/>
          <w:left w:w="0" w:type="dxa"/>
          <w:bottom w:w="0" w:type="dxa"/>
          <w:right w:w="0" w:type="dxa"/>
        </w:tblCellMar>
      </w:tblPr>
      <w:tblGrid>
        <w:gridCol w:w="3635"/>
        <w:gridCol w:w="60"/>
        <w:gridCol w:w="2210"/>
        <w:gridCol w:w="60"/>
        <w:gridCol w:w="2780"/>
      </w:tblGrid>
      <w:tr>
        <w:trPr/>
        <w:tc>
          <w:tcPr>
            <w:tcW w:w="36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 w:name="xdx_905_edei--EntityIncorporationStateCo"/>
            <w:bookmarkEnd w:id="5"/>
            <w:r>
              <w:rPr>
                <w:rFonts w:ascii="Times New Roman;Times;Serif" w:hAnsi="Times New Roman;Times;Serif"/>
                <w:b w:val="false"/>
                <w:i w:val="false"/>
                <w:caps w:val="false"/>
                <w:smallCaps w:val="false"/>
                <w:sz w:val="20"/>
              </w:rPr>
              <w:t>Nevada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 w:name="xdx_906_edei--EntityFileNumber_c20250508"/>
            <w:bookmarkEnd w:id="6"/>
            <w:r>
              <w:rPr>
                <w:rFonts w:ascii="Times New Roman;Times;Serif" w:hAnsi="Times New Roman;Times;Serif"/>
                <w:b w:val="false"/>
                <w:i w:val="false"/>
                <w:caps w:val="false"/>
                <w:smallCaps w:val="false"/>
                <w:sz w:val="20"/>
              </w:rPr>
              <w:t>001-34647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 w:name="xdx_904_edei--EntityTaxIdentificationNum"/>
            <w:bookmarkEnd w:id="7"/>
            <w:r>
              <w:rPr>
                <w:rFonts w:ascii="Times New Roman;Times;Serif" w:hAnsi="Times New Roman;Times;Serif"/>
                <w:b w:val="false"/>
                <w:i w:val="false"/>
                <w:caps w:val="false"/>
                <w:smallCaps w:val="false"/>
                <w:sz w:val="20"/>
              </w:rPr>
              <w:t>20-4672080</w:t>
            </w:r>
          </w:p>
        </w:tc>
      </w:tr>
      <w:tr>
        <w:trPr/>
        <w:tc>
          <w:tcPr>
            <w:tcW w:w="36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jc w:val="left"/>
        <w:rPr>
          <w:caps w:val="false"/>
          <w:smallCaps w:val="false"/>
        </w:rPr>
      </w:pPr>
      <w:r>
        <w:rPr>
          <w:caps w:val="false"/>
          <w:smallCaps w:val="false"/>
        </w:rPr>
        <w:t> </w:t>
      </w:r>
    </w:p>
    <w:tbl>
      <w:tblPr>
        <w:tblW w:w="4817" w:type="dxa"/>
        <w:jc w:val="left"/>
        <w:tblInd w:w="0" w:type="dxa"/>
        <w:tblLayout w:type="fixed"/>
        <w:tblCellMar>
          <w:top w:w="0" w:type="dxa"/>
          <w:left w:w="0" w:type="dxa"/>
          <w:bottom w:w="28" w:type="dxa"/>
          <w:right w:w="0" w:type="dxa"/>
        </w:tblCellMar>
      </w:tblPr>
      <w:tblGrid>
        <w:gridCol w:w="4817"/>
      </w:tblGrid>
      <w:tr>
        <w:trPr/>
        <w:tc>
          <w:tcPr>
            <w:tcW w:w="4817" w:type="dxa"/>
            <w:tcBorders>
              <w:bottom w:val="single" w:sz="8"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bookmarkStart w:id="8" w:name="xdx_90A_edei--EntityAddressAddressLine1_"/>
            <w:bookmarkEnd w:id="8"/>
            <w:r>
              <w:rPr>
                <w:rFonts w:ascii="Times New Roman;Times;Serif" w:hAnsi="Times New Roman;Times;Serif"/>
                <w:b w:val="false"/>
                <w:i w:val="false"/>
                <w:caps w:val="false"/>
                <w:smallCaps w:val="false"/>
                <w:sz w:val="20"/>
              </w:rPr>
              <w:t xml:space="preserve">Room 1811, Xinghuo Keji Plaza, </w:t>
            </w:r>
            <w:bookmarkStart w:id="9" w:name="xdx_90C_edei--EntityAddressAddressLine2_"/>
            <w:bookmarkEnd w:id="9"/>
            <w:r>
              <w:rPr>
                <w:rFonts w:ascii="Times New Roman;Times;Serif" w:hAnsi="Times New Roman;Times;Serif"/>
                <w:b w:val="false"/>
                <w:i w:val="false"/>
                <w:caps w:val="false"/>
                <w:smallCaps w:val="false"/>
                <w:sz w:val="20"/>
              </w:rPr>
              <w:t>No. 2 Fufeng Road,</w:t>
            </w:r>
          </w:p>
          <w:p>
            <w:pPr>
              <w:pStyle w:val="TableContents"/>
              <w:bidi w:val="0"/>
              <w:spacing w:before="0" w:after="283"/>
              <w:jc w:val="center"/>
              <w:rPr>
                <w:rFonts w:ascii="Times New Roman;Times;Serif" w:hAnsi="Times New Roman;Times;Serif"/>
                <w:b w:val="false"/>
                <w:i w:val="false"/>
                <w:caps w:val="false"/>
                <w:smallCaps w:val="false"/>
                <w:sz w:val="20"/>
              </w:rPr>
            </w:pPr>
            <w:bookmarkStart w:id="10" w:name="xdx_900_edei--EntityAddressAddressLine3_"/>
            <w:bookmarkEnd w:id="10"/>
            <w:r>
              <w:rPr>
                <w:rFonts w:ascii="Times New Roman;Times;Serif" w:hAnsi="Times New Roman;Times;Serif"/>
                <w:b w:val="false"/>
                <w:i w:val="false"/>
                <w:caps w:val="false"/>
                <w:smallCaps w:val="false"/>
                <w:sz w:val="20"/>
              </w:rPr>
              <w:t xml:space="preserve">Fengtai District, </w:t>
            </w:r>
            <w:bookmarkStart w:id="11" w:name="xdx_908_edei--EntityAddressCityOrTown_c2"/>
            <w:bookmarkEnd w:id="11"/>
            <w:r>
              <w:rPr>
                <w:rFonts w:ascii="Times New Roman;Times;Serif" w:hAnsi="Times New Roman;Times;Serif"/>
                <w:b w:val="false"/>
                <w:i w:val="false"/>
                <w:caps w:val="false"/>
                <w:smallCaps w:val="false"/>
                <w:sz w:val="20"/>
              </w:rPr>
              <w:t xml:space="preserve">Beijing, </w:t>
            </w:r>
            <w:bookmarkStart w:id="12" w:name="xdx_904_edei--EntityAddressStateOrProvin"/>
            <w:bookmarkEnd w:id="12"/>
            <w:r>
              <w:rPr>
                <w:rFonts w:ascii="Times New Roman;Times;Serif" w:hAnsi="Times New Roman;Times;Serif"/>
                <w:b w:val="false"/>
                <w:i w:val="false"/>
                <w:caps w:val="false"/>
                <w:smallCaps w:val="false"/>
                <w:sz w:val="20"/>
              </w:rPr>
              <w:t xml:space="preserve">CN </w:t>
            </w:r>
            <w:bookmarkStart w:id="13" w:name="xdx_900_edei--EntityAddressPostalZipCode"/>
            <w:bookmarkEnd w:id="13"/>
            <w:r>
              <w:rPr>
                <w:rFonts w:ascii="Times New Roman;Times;Serif" w:hAnsi="Times New Roman;Times;Serif"/>
                <w:b w:val="false"/>
                <w:i w:val="false"/>
                <w:caps w:val="false"/>
                <w:smallCaps w:val="false"/>
                <w:sz w:val="20"/>
              </w:rPr>
              <w:t>100070</w:t>
            </w:r>
          </w:p>
        </w:tc>
      </w:tr>
      <w:tr>
        <w:trPr/>
        <w:tc>
          <w:tcPr>
            <w:tcW w:w="4817" w:type="dxa"/>
            <w:tcBorders/>
            <w:tcMar>
              <w:bottom w:w="0" w:type="dxa"/>
            </w:tcMar>
            <w:vAlign w:val="center"/>
          </w:tcPr>
          <w:p>
            <w:pPr>
              <w:pStyle w:val="TableContents"/>
              <w:bidi w:val="0"/>
              <w:ind w:left="480" w:right="372"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ableContents"/>
              <w:bidi w:val="0"/>
              <w:spacing w:before="0" w:after="283"/>
              <w:ind w:left="480" w:right="372" w:hanging="0"/>
              <w:jc w:val="center"/>
              <w:rPr>
                <w:caps w:val="false"/>
                <w:smallCaps w:val="false"/>
              </w:rPr>
            </w:pPr>
            <w:r>
              <w:rPr>
                <w:caps w:val="false"/>
                <w:smallCaps w:val="false"/>
              </w:rPr>
              <w:t> </w:t>
            </w:r>
          </w:p>
        </w:tc>
      </w:tr>
    </w:tbl>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bookmarkStart w:id="14" w:name="xdx_907_edei--CityAreaCode_c20250508__20"/>
      <w:bookmarkEnd w:id="14"/>
      <w:r>
        <w:rPr>
          <w:rFonts w:ascii="Times New Roman;Times;Serif" w:hAnsi="Times New Roman;Times;Serif"/>
          <w:b w:val="false"/>
          <w:i w:val="false"/>
          <w:caps w:val="false"/>
          <w:smallCaps w:val="false"/>
          <w:sz w:val="20"/>
        </w:rPr>
        <w:t>10-</w:t>
      </w:r>
      <w:bookmarkStart w:id="15" w:name="xdx_903_edei--LocalPhoneNumber_c20250508"/>
      <w:bookmarkEnd w:id="15"/>
      <w:r>
        <w:rPr>
          <w:rFonts w:ascii="Times New Roman;Times;Serif" w:hAnsi="Times New Roman;Times;Serif"/>
          <w:b w:val="false"/>
          <w:i w:val="false"/>
          <w:caps w:val="false"/>
          <w:smallCaps w:val="false"/>
          <w:sz w:val="20"/>
        </w:rPr>
        <w:t>60846616</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245"/>
        <w:gridCol w:w="60"/>
        <w:gridCol w:w="7295"/>
      </w:tblGrid>
      <w:tr>
        <w:trPr/>
        <w:tc>
          <w:tcPr>
            <w:tcW w:w="245" w:type="dxa"/>
            <w:tcBorders/>
            <w:vAlign w:val="center"/>
          </w:tcPr>
          <w:p>
            <w:pPr>
              <w:pStyle w:val="TableContents"/>
              <w:bidi w:val="0"/>
              <w:spacing w:before="0" w:after="283"/>
              <w:jc w:val="left"/>
              <w:rPr>
                <w:caps w:val="false"/>
                <w:smallCaps w:val="false"/>
              </w:rPr>
            </w:pPr>
            <w:bookmarkStart w:id="16" w:name="xdx_906_edei--WrittenCommunications_c202"/>
            <w:bookmarkEnd w:id="16"/>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bl>
    <w:p>
      <w:pPr>
        <w:pStyle w:val="TextBody"/>
        <w:bidi w:val="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245"/>
        <w:gridCol w:w="60"/>
        <w:gridCol w:w="7325"/>
      </w:tblGrid>
      <w:tr>
        <w:trPr/>
        <w:tc>
          <w:tcPr>
            <w:tcW w:w="245" w:type="dxa"/>
            <w:tcBorders/>
            <w:vAlign w:val="center"/>
          </w:tcPr>
          <w:p>
            <w:pPr>
              <w:pStyle w:val="TableContents"/>
              <w:bidi w:val="0"/>
              <w:spacing w:before="0" w:after="283"/>
              <w:jc w:val="left"/>
              <w:rPr>
                <w:caps w:val="false"/>
                <w:smallCaps w:val="false"/>
              </w:rPr>
            </w:pPr>
            <w:bookmarkStart w:id="17" w:name="xdx_905_edei--SolicitingMaterial_c202505"/>
            <w:bookmarkEnd w:id="17"/>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245"/>
        <w:gridCol w:w="60"/>
        <w:gridCol w:w="9065"/>
      </w:tblGrid>
      <w:tr>
        <w:trPr/>
        <w:tc>
          <w:tcPr>
            <w:tcW w:w="245" w:type="dxa"/>
            <w:tcBorders/>
            <w:vAlign w:val="center"/>
          </w:tcPr>
          <w:p>
            <w:pPr>
              <w:pStyle w:val="TableContents"/>
              <w:bidi w:val="0"/>
              <w:spacing w:before="0" w:after="283"/>
              <w:jc w:val="left"/>
              <w:rPr>
                <w:caps w:val="false"/>
                <w:smallCaps w:val="false"/>
              </w:rPr>
            </w:pPr>
            <w:bookmarkStart w:id="18" w:name="xdx_90D_edei--PreCommencementTenderOffer"/>
            <w:bookmarkEnd w:id="18"/>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60"/>
        <w:gridCol w:w="9005"/>
      </w:tblGrid>
      <w:tr>
        <w:trPr/>
        <w:tc>
          <w:tcPr>
            <w:tcW w:w="245" w:type="dxa"/>
            <w:tcBorders/>
            <w:vAlign w:val="center"/>
          </w:tcPr>
          <w:p>
            <w:pPr>
              <w:pStyle w:val="TableContents"/>
              <w:bidi w:val="0"/>
              <w:spacing w:before="0" w:after="283"/>
              <w:jc w:val="left"/>
              <w:rPr>
                <w:caps w:val="false"/>
                <w:smallCaps w:val="false"/>
              </w:rPr>
            </w:pPr>
            <w:bookmarkStart w:id="19" w:name="xdx_904_edei--PreCommencementIssuerTende"/>
            <w:bookmarkEnd w:id="19"/>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bookmarkStart w:id="20" w:name="xdx_90C_edei--EntityEmergingGrowthCompan"/>
      <w:bookmarkEnd w:id="20"/>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jc w:val="left"/>
        <w:rPr>
          <w:caps w:val="false"/>
          <w:smallCaps w:val="false"/>
        </w:rPr>
      </w:pPr>
      <w:r>
        <w:rPr>
          <w:caps w:val="false"/>
          <w:smallCaps w:val="false"/>
        </w:rPr>
        <w:t> </w:t>
      </w:r>
    </w:p>
    <w:tbl>
      <w:tblPr>
        <w:tblW w:w="8190" w:type="dxa"/>
        <w:jc w:val="left"/>
        <w:tblInd w:w="0" w:type="dxa"/>
        <w:shd w:fill="FFFFFF" w:val="clear"/>
        <w:tblLayout w:type="fixed"/>
        <w:tblCellMar>
          <w:top w:w="0" w:type="dxa"/>
          <w:left w:w="0" w:type="dxa"/>
          <w:bottom w:w="28" w:type="dxa"/>
          <w:right w:w="0" w:type="dxa"/>
        </w:tblCellMar>
      </w:tblPr>
      <w:tblGrid>
        <w:gridCol w:w="2750"/>
        <w:gridCol w:w="60"/>
        <w:gridCol w:w="1610"/>
        <w:gridCol w:w="60"/>
        <w:gridCol w:w="3710"/>
      </w:tblGrid>
      <w:tr>
        <w:trPr/>
        <w:tc>
          <w:tcPr>
            <w:tcW w:w="27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7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D_edei--Security12bTitle_c20250508"/>
            <w:bookmarkEnd w:id="21"/>
            <w:r>
              <w:rPr>
                <w:rFonts w:ascii="Times New Roman;Times;Serif" w:hAnsi="Times New Roman;Times;Serif"/>
                <w:b w:val="false"/>
                <w:i w:val="false"/>
                <w:caps w:val="false"/>
                <w:smallCaps w:val="false"/>
                <w:sz w:val="20"/>
              </w:rPr>
              <w:t>Common Stock, par value $0.001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6_edei--TradingSymbol_c20250508__2"/>
            <w:bookmarkEnd w:id="22"/>
            <w:r>
              <w:rPr>
                <w:rFonts w:ascii="Times New Roman;Times;Serif" w:hAnsi="Times New Roman;Times;Serif"/>
                <w:b w:val="false"/>
                <w:i w:val="false"/>
                <w:caps w:val="false"/>
                <w:smallCaps w:val="false"/>
                <w:sz w:val="20"/>
              </w:rPr>
              <w:t>CNET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E_edei--SecurityExchangeName_c2025"/>
            <w:bookmarkEnd w:id="23"/>
            <w:r>
              <w:rPr>
                <w:rFonts w:ascii="Times New Roman;Times;Serif" w:hAnsi="Times New Roman;Times;Serif"/>
                <w:b w:val="false"/>
                <w:i w:val="false"/>
                <w:caps w:val="false"/>
                <w:smallCaps w:val="false"/>
                <w:sz w:val="20"/>
              </w:rPr>
              <w:t>NASDAQ Capital Market</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2025, ZW Data Action Technologies Inc. (the “Company”) entered into a Securities Purchase Agreement (the “</w:t>
      </w:r>
      <w:r>
        <w:rPr>
          <w:rFonts w:ascii="Times New Roman;Times;Serif" w:hAnsi="Times New Roman;Times;Serif"/>
          <w:b/>
          <w:i w:val="false"/>
          <w:caps w:val="false"/>
          <w:smallCaps w:val="false"/>
          <w:sz w:val="20"/>
        </w:rPr>
        <w:t>Agreement 1</w:t>
      </w:r>
      <w:r>
        <w:rPr>
          <w:rFonts w:ascii="Times New Roman;Times;Serif" w:hAnsi="Times New Roman;Times;Serif"/>
          <w:b w:val="false"/>
          <w:i w:val="false"/>
          <w:caps w:val="false"/>
          <w:smallCaps w:val="false"/>
          <w:sz w:val="20"/>
        </w:rPr>
        <w:t>”) with Golden Harvest Trust Limited (Business Registration Number: 75554628) in its capacity as trustee of InfiniteReach Investment Group Limited Trust (the “</w:t>
      </w:r>
      <w:r>
        <w:rPr>
          <w:rFonts w:ascii="Times New Roman;Times;Serif" w:hAnsi="Times New Roman;Times;Serif"/>
          <w:b/>
          <w:i w:val="false"/>
          <w:caps w:val="false"/>
          <w:smallCaps w:val="false"/>
          <w:sz w:val="20"/>
        </w:rPr>
        <w:t>Purchaser 1</w:t>
      </w:r>
      <w:r>
        <w:rPr>
          <w:rFonts w:ascii="Times New Roman;Times;Serif" w:hAnsi="Times New Roman;Times;Serif"/>
          <w:b w:val="false"/>
          <w:i w:val="false"/>
          <w:caps w:val="false"/>
          <w:smallCaps w:val="false"/>
          <w:sz w:val="20"/>
        </w:rPr>
        <w:t>”), pursuant to which the Purchaser 1 agreed to purchase 119,100 shares of common stock of the Company, par value $0.001 per share for an aggregate purchase price of US$250,110, representing a purchase price of US$2.1 per share. The closing shall take place on the date mutually agreed by the parties, subject to the closing conditions contained in the Agreement. On the date that the Agreement 1 was signed, the Purchaser 1 also entered into a lock-up agreement with the Company, whereby the Purchaser 1 agreed not to transfer the shares until six-month anniversary of the date of the Agreement 1.</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2025, the Company entered into a Securities Purchase Agreement (the “</w:t>
      </w:r>
      <w:r>
        <w:rPr>
          <w:rFonts w:ascii="Times New Roman;Times;Serif" w:hAnsi="Times New Roman;Times;Serif"/>
          <w:b/>
          <w:i w:val="false"/>
          <w:caps w:val="false"/>
          <w:smallCaps w:val="false"/>
          <w:sz w:val="20"/>
        </w:rPr>
        <w:t>Agreement 2</w:t>
      </w:r>
      <w:r>
        <w:rPr>
          <w:rFonts w:ascii="Times New Roman;Times;Serif" w:hAnsi="Times New Roman;Times;Serif"/>
          <w:b w:val="false"/>
          <w:i w:val="false"/>
          <w:caps w:val="false"/>
          <w:smallCaps w:val="false"/>
          <w:sz w:val="20"/>
        </w:rPr>
        <w:t>”) with BlackSilver Trust (Hong Kong) Limited (Business Registration Number: 74239285) in its capacity as trustee of the VividHorizon Trust (the “</w:t>
      </w:r>
      <w:r>
        <w:rPr>
          <w:rFonts w:ascii="Times New Roman;Times;Serif" w:hAnsi="Times New Roman;Times;Serif"/>
          <w:b/>
          <w:i w:val="false"/>
          <w:caps w:val="false"/>
          <w:smallCaps w:val="false"/>
          <w:sz w:val="20"/>
        </w:rPr>
        <w:t>Purchaser 2</w:t>
      </w:r>
      <w:r>
        <w:rPr>
          <w:rFonts w:ascii="Times New Roman;Times;Serif" w:hAnsi="Times New Roman;Times;Serif"/>
          <w:b w:val="false"/>
          <w:i w:val="false"/>
          <w:caps w:val="false"/>
          <w:smallCaps w:val="false"/>
          <w:sz w:val="20"/>
        </w:rPr>
        <w:t>”), pursuant to which the Purchaser 2 agreed to purchase 119,100 shares of common stock of the Company, par value $0.001 per share for an aggregate purchase price of US$250,110, representing a purchase price of US$2.1 per share. The closing shall take place on the date mutually agreed by the parties, subject to the closing conditions contained in the Agreement 2. On the date that the Agreement 2 was signed, the Purchaser 2 also entered into a lock-up agreement with the Company, whereby the Purchaser 2 agreed not to transfer the shares until six-month anniversary of the date of the Agreement 2.</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2025, the Company entered into a Securities Purchase Agreement (the “</w:t>
      </w:r>
      <w:r>
        <w:rPr>
          <w:rFonts w:ascii="Times New Roman;Times;Serif" w:hAnsi="Times New Roman;Times;Serif"/>
          <w:b/>
          <w:i w:val="false"/>
          <w:caps w:val="false"/>
          <w:smallCaps w:val="false"/>
          <w:sz w:val="20"/>
        </w:rPr>
        <w:t>Agreement 3</w:t>
      </w:r>
      <w:r>
        <w:rPr>
          <w:rFonts w:ascii="Times New Roman;Times;Serif" w:hAnsi="Times New Roman;Times;Serif"/>
          <w:b w:val="false"/>
          <w:i w:val="false"/>
          <w:caps w:val="false"/>
          <w:smallCaps w:val="false"/>
          <w:sz w:val="20"/>
        </w:rPr>
        <w:t>”) with Chaucer Investment &amp; Consulting Limited, a Hong Kong business company (Business Registration Number: 50180682) (the “</w:t>
      </w:r>
      <w:r>
        <w:rPr>
          <w:rFonts w:ascii="Times New Roman;Times;Serif" w:hAnsi="Times New Roman;Times;Serif"/>
          <w:b/>
          <w:i w:val="false"/>
          <w:caps w:val="false"/>
          <w:smallCaps w:val="false"/>
          <w:sz w:val="20"/>
        </w:rPr>
        <w:t>Purchaser 3</w:t>
      </w:r>
      <w:r>
        <w:rPr>
          <w:rFonts w:ascii="Times New Roman;Times;Serif" w:hAnsi="Times New Roman;Times;Serif"/>
          <w:b w:val="false"/>
          <w:i w:val="false"/>
          <w:caps w:val="false"/>
          <w:smallCaps w:val="false"/>
          <w:sz w:val="20"/>
        </w:rPr>
        <w:t>”), pursuant to which the Purchaser 3 agreed to purchase 119,100 shares of common stock of the Company, par value $0.001 per share for an aggregate purchase price of US$250,110, representing a purchase price of US$2.1 per share. The closing shall take place on the date mutually agreed by the parties, subject to the closing conditions contained in the Agreement 3. On the date that the Agreement 3 was signed, the Purchaser 3 also entered into a lock-up agreement with the Company, the Purchaser 3 agreed not to transfer the shares until six-month anniversary of the date of the Agreement 3.</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securities purchase agreements and the lock-op agreements are attached to this Current Report on Form 8-K as Exhibits 10.1, 10.2, 10.3, 10.4, 10.5 and 10.6, and are incorporated herein by reference.</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required by this Item and included in Item 1.01 of this Current Report is incorporated herein by reference. The shares were sold without registration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in reliance on the exemptions provided by Section 4(a)(2) of the Securities Act and Regulations D and S promulgated thereunder as sales to accredited investors and in reliance on similar exemptions under applicable state laws.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1340"/>
        <w:gridCol w:w="4250"/>
      </w:tblGrid>
      <w:tr>
        <w:trPr/>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Number</w:t>
            </w:r>
          </w:p>
        </w:tc>
        <w:tc>
          <w:tcPr>
            <w:tcW w:w="4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Description</w:t>
            </w:r>
          </w:p>
        </w:tc>
      </w:tr>
      <w:tr>
        <w:trPr/>
        <w:tc>
          <w:tcPr>
            <w:tcW w:w="1340" w:type="dxa"/>
            <w:tcBorders/>
            <w:vAlign w:val="center"/>
          </w:tcPr>
          <w:p>
            <w:pPr>
              <w:pStyle w:val="TableContents"/>
              <w:bidi w:val="0"/>
              <w:spacing w:before="0" w:after="283"/>
              <w:jc w:val="left"/>
              <w:rPr/>
            </w:pPr>
            <w:hyperlink w:anchor="exh_101.htm">
              <w:r>
                <w:rPr>
                  <w:rStyle w:val="InternetLink"/>
                  <w:rFonts w:ascii="Times New Roman;Times;Serif" w:hAnsi="Times New Roman;Times;Serif"/>
                  <w:b w:val="false"/>
                  <w:i w:val="false"/>
                  <w:caps w:val="false"/>
                  <w:smallCaps w:val="false"/>
                  <w:sz w:val="20"/>
                </w:rPr>
                <w:t>10.1</w:t>
              </w:r>
            </w:hyperlink>
          </w:p>
        </w:tc>
        <w:tc>
          <w:tcPr>
            <w:tcW w:w="4250" w:type="dxa"/>
            <w:tcBorders/>
            <w:vAlign w:val="center"/>
          </w:tcPr>
          <w:p>
            <w:pPr>
              <w:pStyle w:val="TableContents"/>
              <w:bidi w:val="0"/>
              <w:spacing w:before="0" w:after="283"/>
              <w:jc w:val="left"/>
              <w:rPr/>
            </w:pPr>
            <w:hyperlink w:anchor="exh_101.htm">
              <w:r>
                <w:rPr>
                  <w:rStyle w:val="InternetLink"/>
                  <w:rFonts w:ascii="Times New Roman;Times;Serif" w:hAnsi="Times New Roman;Times;Serif"/>
                  <w:b w:val="false"/>
                  <w:i w:val="false"/>
                  <w:caps w:val="false"/>
                  <w:smallCaps w:val="false"/>
                  <w:sz w:val="20"/>
                </w:rPr>
                <w:t>Securities Purchase Agreement, dated May 8, 2025</w:t>
              </w:r>
            </w:hyperlink>
          </w:p>
        </w:tc>
      </w:tr>
      <w:tr>
        <w:trPr/>
        <w:tc>
          <w:tcPr>
            <w:tcW w:w="1340" w:type="dxa"/>
            <w:tcBorders/>
            <w:vAlign w:val="center"/>
          </w:tcPr>
          <w:p>
            <w:pPr>
              <w:pStyle w:val="TableContents"/>
              <w:bidi w:val="0"/>
              <w:spacing w:before="0" w:after="283"/>
              <w:jc w:val="left"/>
              <w:rPr/>
            </w:pPr>
            <w:hyperlink w:anchor="exh_102.htm">
              <w:r>
                <w:rPr>
                  <w:rStyle w:val="InternetLink"/>
                  <w:rFonts w:ascii="Times New Roman;Times;Serif" w:hAnsi="Times New Roman;Times;Serif"/>
                  <w:b w:val="false"/>
                  <w:i w:val="false"/>
                  <w:caps w:val="false"/>
                  <w:smallCaps w:val="false"/>
                  <w:sz w:val="20"/>
                </w:rPr>
                <w:t>10.2</w:t>
              </w:r>
            </w:hyperlink>
          </w:p>
        </w:tc>
        <w:tc>
          <w:tcPr>
            <w:tcW w:w="4250" w:type="dxa"/>
            <w:tcBorders/>
            <w:vAlign w:val="center"/>
          </w:tcPr>
          <w:p>
            <w:pPr>
              <w:pStyle w:val="TableContents"/>
              <w:bidi w:val="0"/>
              <w:spacing w:before="0" w:after="283"/>
              <w:jc w:val="left"/>
              <w:rPr/>
            </w:pPr>
            <w:hyperlink w:anchor="exh_102.htm">
              <w:r>
                <w:rPr>
                  <w:rStyle w:val="InternetLink"/>
                  <w:rFonts w:ascii="Times New Roman;Times;Serif" w:hAnsi="Times New Roman;Times;Serif"/>
                  <w:b w:val="false"/>
                  <w:i w:val="false"/>
                  <w:caps w:val="false"/>
                  <w:smallCaps w:val="false"/>
                  <w:sz w:val="20"/>
                </w:rPr>
                <w:t>Lock-Up Agreement, dated May 8, 2025</w:t>
              </w:r>
            </w:hyperlink>
          </w:p>
        </w:tc>
      </w:tr>
      <w:tr>
        <w:trPr/>
        <w:tc>
          <w:tcPr>
            <w:tcW w:w="1340" w:type="dxa"/>
            <w:tcBorders/>
            <w:vAlign w:val="center"/>
          </w:tcPr>
          <w:p>
            <w:pPr>
              <w:pStyle w:val="TableContents"/>
              <w:bidi w:val="0"/>
              <w:spacing w:before="0" w:after="283"/>
              <w:jc w:val="left"/>
              <w:rPr/>
            </w:pPr>
            <w:hyperlink w:anchor="exh_103.htm">
              <w:r>
                <w:rPr>
                  <w:rStyle w:val="InternetLink"/>
                  <w:rFonts w:ascii="Times New Roman;Times;Serif" w:hAnsi="Times New Roman;Times;Serif"/>
                  <w:b w:val="false"/>
                  <w:i w:val="false"/>
                  <w:caps w:val="false"/>
                  <w:smallCaps w:val="false"/>
                  <w:sz w:val="20"/>
                </w:rPr>
                <w:t>10.3</w:t>
              </w:r>
            </w:hyperlink>
          </w:p>
        </w:tc>
        <w:tc>
          <w:tcPr>
            <w:tcW w:w="4250" w:type="dxa"/>
            <w:tcBorders/>
            <w:vAlign w:val="center"/>
          </w:tcPr>
          <w:p>
            <w:pPr>
              <w:pStyle w:val="TableContents"/>
              <w:bidi w:val="0"/>
              <w:spacing w:before="0" w:after="283"/>
              <w:jc w:val="left"/>
              <w:rPr/>
            </w:pPr>
            <w:hyperlink w:anchor="exh_103.htm">
              <w:r>
                <w:rPr>
                  <w:rStyle w:val="InternetLink"/>
                  <w:rFonts w:ascii="Times New Roman;Times;Serif" w:hAnsi="Times New Roman;Times;Serif"/>
                  <w:b w:val="false"/>
                  <w:i w:val="false"/>
                  <w:caps w:val="false"/>
                  <w:smallCaps w:val="false"/>
                  <w:sz w:val="20"/>
                </w:rPr>
                <w:t>Securities Purchase Agreement, dated May 8, 2025</w:t>
              </w:r>
            </w:hyperlink>
          </w:p>
        </w:tc>
      </w:tr>
      <w:tr>
        <w:trPr/>
        <w:tc>
          <w:tcPr>
            <w:tcW w:w="1340" w:type="dxa"/>
            <w:tcBorders/>
            <w:vAlign w:val="center"/>
          </w:tcPr>
          <w:p>
            <w:pPr>
              <w:pStyle w:val="TableContents"/>
              <w:bidi w:val="0"/>
              <w:spacing w:before="0" w:after="283"/>
              <w:jc w:val="left"/>
              <w:rPr/>
            </w:pPr>
            <w:hyperlink w:anchor="exh_104.htm">
              <w:r>
                <w:rPr>
                  <w:rStyle w:val="InternetLink"/>
                  <w:rFonts w:ascii="Times New Roman;Times;Serif" w:hAnsi="Times New Roman;Times;Serif"/>
                  <w:b w:val="false"/>
                  <w:i w:val="false"/>
                  <w:caps w:val="false"/>
                  <w:smallCaps w:val="false"/>
                  <w:sz w:val="20"/>
                </w:rPr>
                <w:t>10.4</w:t>
              </w:r>
            </w:hyperlink>
          </w:p>
        </w:tc>
        <w:tc>
          <w:tcPr>
            <w:tcW w:w="4250" w:type="dxa"/>
            <w:tcBorders/>
            <w:vAlign w:val="center"/>
          </w:tcPr>
          <w:p>
            <w:pPr>
              <w:pStyle w:val="TableContents"/>
              <w:bidi w:val="0"/>
              <w:spacing w:before="0" w:after="283"/>
              <w:jc w:val="left"/>
              <w:rPr/>
            </w:pPr>
            <w:hyperlink w:anchor="exh_104.htm">
              <w:r>
                <w:rPr>
                  <w:rStyle w:val="InternetLink"/>
                  <w:rFonts w:ascii="Times New Roman;Times;Serif" w:hAnsi="Times New Roman;Times;Serif"/>
                  <w:b w:val="false"/>
                  <w:i w:val="false"/>
                  <w:caps w:val="false"/>
                  <w:smallCaps w:val="false"/>
                  <w:sz w:val="20"/>
                </w:rPr>
                <w:t>Lock-up Agreement, dated May 8, 2025</w:t>
              </w:r>
            </w:hyperlink>
          </w:p>
        </w:tc>
      </w:tr>
      <w:tr>
        <w:trPr/>
        <w:tc>
          <w:tcPr>
            <w:tcW w:w="1340" w:type="dxa"/>
            <w:tcBorders/>
            <w:vAlign w:val="center"/>
          </w:tcPr>
          <w:p>
            <w:pPr>
              <w:pStyle w:val="TableContents"/>
              <w:bidi w:val="0"/>
              <w:spacing w:before="0" w:after="283"/>
              <w:jc w:val="left"/>
              <w:rPr/>
            </w:pPr>
            <w:hyperlink w:anchor="exh_105.htm">
              <w:r>
                <w:rPr>
                  <w:rStyle w:val="InternetLink"/>
                  <w:rFonts w:ascii="Times New Roman;Times;Serif" w:hAnsi="Times New Roman;Times;Serif"/>
                  <w:b w:val="false"/>
                  <w:i w:val="false"/>
                  <w:caps w:val="false"/>
                  <w:smallCaps w:val="false"/>
                  <w:sz w:val="20"/>
                </w:rPr>
                <w:t>10.5</w:t>
              </w:r>
            </w:hyperlink>
          </w:p>
        </w:tc>
        <w:tc>
          <w:tcPr>
            <w:tcW w:w="4250" w:type="dxa"/>
            <w:tcBorders/>
            <w:vAlign w:val="center"/>
          </w:tcPr>
          <w:p>
            <w:pPr>
              <w:pStyle w:val="TableContents"/>
              <w:bidi w:val="0"/>
              <w:spacing w:before="0" w:after="283"/>
              <w:jc w:val="left"/>
              <w:rPr/>
            </w:pPr>
            <w:hyperlink w:anchor="exh_105.htm">
              <w:r>
                <w:rPr>
                  <w:rStyle w:val="InternetLink"/>
                  <w:rFonts w:ascii="Times New Roman;Times;Serif" w:hAnsi="Times New Roman;Times;Serif"/>
                  <w:b w:val="false"/>
                  <w:i w:val="false"/>
                  <w:caps w:val="false"/>
                  <w:smallCaps w:val="false"/>
                  <w:sz w:val="20"/>
                </w:rPr>
                <w:t>Securities Purchase Agreement, dated May 13, 2025</w:t>
              </w:r>
            </w:hyperlink>
          </w:p>
        </w:tc>
      </w:tr>
      <w:tr>
        <w:trPr/>
        <w:tc>
          <w:tcPr>
            <w:tcW w:w="1340" w:type="dxa"/>
            <w:tcBorders/>
            <w:vAlign w:val="center"/>
          </w:tcPr>
          <w:p>
            <w:pPr>
              <w:pStyle w:val="TableContents"/>
              <w:bidi w:val="0"/>
              <w:spacing w:before="0" w:after="283"/>
              <w:jc w:val="left"/>
              <w:rPr/>
            </w:pPr>
            <w:hyperlink w:anchor="exh_106.htm">
              <w:r>
                <w:rPr>
                  <w:rStyle w:val="InternetLink"/>
                  <w:rFonts w:ascii="Times New Roman;Times;Serif" w:hAnsi="Times New Roman;Times;Serif"/>
                  <w:b w:val="false"/>
                  <w:i w:val="false"/>
                  <w:caps w:val="false"/>
                  <w:smallCaps w:val="false"/>
                  <w:sz w:val="20"/>
                </w:rPr>
                <w:t>10.6</w:t>
              </w:r>
            </w:hyperlink>
          </w:p>
        </w:tc>
        <w:tc>
          <w:tcPr>
            <w:tcW w:w="4250" w:type="dxa"/>
            <w:tcBorders/>
            <w:vAlign w:val="center"/>
          </w:tcPr>
          <w:p>
            <w:pPr>
              <w:pStyle w:val="TableContents"/>
              <w:bidi w:val="0"/>
              <w:spacing w:before="0" w:after="283"/>
              <w:jc w:val="left"/>
              <w:rPr/>
            </w:pPr>
            <w:hyperlink w:anchor="exh_106.htm">
              <w:r>
                <w:rPr>
                  <w:rStyle w:val="InternetLink"/>
                  <w:rFonts w:ascii="Times New Roman;Times;Serif" w:hAnsi="Times New Roman;Times;Serif"/>
                  <w:b w:val="false"/>
                  <w:i w:val="false"/>
                  <w:caps w:val="false"/>
                  <w:smallCaps w:val="false"/>
                  <w:sz w:val="20"/>
                </w:rPr>
                <w:t>Lock-Up Agreement, dated May 13, 2025</w:t>
              </w:r>
            </w:hyperlink>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both"/>
        <w:rPr>
          <w:caps w:val="false"/>
          <w:smallCaps w:val="false"/>
        </w:rPr>
      </w:pPr>
      <w:r>
        <w:rPr>
          <w:caps w:val="false"/>
          <w:smallCaps w:val="false"/>
        </w:rPr>
        <w:t> </w:t>
      </w:r>
    </w:p>
    <w:tbl>
      <w:tblPr>
        <w:tblW w:w="7380" w:type="dxa"/>
        <w:jc w:val="left"/>
        <w:tblInd w:w="0" w:type="dxa"/>
        <w:tblLayout w:type="fixed"/>
        <w:tblCellMar>
          <w:top w:w="0" w:type="dxa"/>
          <w:left w:w="0" w:type="dxa"/>
          <w:bottom w:w="0" w:type="dxa"/>
          <w:right w:w="0" w:type="dxa"/>
        </w:tblCellMar>
      </w:tblPr>
      <w:tblGrid>
        <w:gridCol w:w="1760"/>
        <w:gridCol w:w="320"/>
        <w:gridCol w:w="5300"/>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62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ZW DATA ACTION TECHNOLOGIES INC.</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62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14, 2025</w:t>
            </w:r>
          </w:p>
        </w:tc>
        <w:tc>
          <w:tcPr>
            <w:tcW w:w="562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3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Handong Cheng</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Handong Cheng</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 and Acting Chief Financial Officer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xh_101.htm"/>
      <w:bookmarkStart w:id="25" w:name="ksexh_101"/>
      <w:bookmarkEnd w:id="24"/>
      <w:bookmarkEnd w:id="25"/>
      <w:r>
        <w:rPr>
          <w:rFonts w:ascii="Times New Roman;Times;Serif" w:hAnsi="Times New Roman;Times;Serif"/>
          <w:b/>
          <w:i w:val="false"/>
          <w:caps w:val="false"/>
          <w:smallCaps w:val="false"/>
          <w:sz w:val="20"/>
        </w:rPr>
        <w:t>Exhibit 10.1</w:t>
      </w:r>
      <w:r>
        <w:br w:type="page"/>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8 May, 2025 by and among ZW Data Action Technologies Inc., a Nevada corporation (NASDAQ: CNET)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and and Golden Harvest Trust Limited (Business Registration Number: 75554628) in its capacity as trustee of InfiniteReach Investment Group Limited Trust (the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Purchase and Sale of Common Stock </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Purchase and Sale of Common Stock</w:t>
      </w:r>
      <w:r>
        <w:rPr>
          <w:rFonts w:ascii="Times New Roman;Times;Serif" w:hAnsi="Times New Roman;Times;Serif"/>
          <w:b w:val="false"/>
          <w:i w:val="false"/>
          <w:caps w:val="false"/>
          <w:smallCaps w:val="false"/>
          <w:sz w:val="20"/>
        </w:rPr>
        <w:t>. Upon the following terms and conditions, the Company is offering to the Purchaser 119,100 shares of common stock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Purchase Price and Closing.</w:t>
      </w:r>
      <w:r>
        <w:rPr>
          <w:rFonts w:ascii="Times New Roman;Times;Serif" w:hAnsi="Times New Roman;Times;Serif"/>
          <w:b w:val="false"/>
          <w:i w:val="false"/>
          <w:caps w:val="false"/>
          <w:smallCaps w:val="false"/>
          <w:sz w:val="20"/>
        </w:rPr>
        <w:t xml:space="preserve"> Subject to the terms and conditions hereof, the Company agrees to issue and sell to the Purchaser and, in consideration of and in express reliance upon the representations, warranties, covenants, terms and conditions of this Agreement, the Purchaser agrees to purchase the Shares for $2.1 per Share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for an aggregate purchase price of $250,110. The Purchaser shall pay the Purchase Price in full at closing which shall take place at the offices of Loeb &amp; Loeb, LLP, 345 Park Avenue, New York, NY 10154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on the date mutually agreed to by the parties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Subject to the terms and conditions of this Agreement, at the Closing, the Company shall deliver or cause to be delivered to Purchaser (x) a certificate for the number of Shares subscribed for and (y) any other documents required to be delivered pursuant to Article IV hereof.</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Representations and Warranties of the Company, its Subsidiaries and the PRC Operating Entities</w:t>
      </w:r>
      <w:r>
        <w:rPr>
          <w:rFonts w:ascii="Times New Roman;Times;Serif" w:hAnsi="Times New Roman;Times;Serif"/>
          <w:b w:val="false"/>
          <w:i w:val="false"/>
          <w:caps w:val="false"/>
          <w:smallCaps w:val="false"/>
          <w:sz w:val="20"/>
        </w:rPr>
        <w:t>. The Company hereby represents and warrants to the Purchaser on behalf of itself, its Subsidiaries (as hereinafter defined) and the PRC Operating Entities (as hereinafter defined), as of the date hereof, as follows: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Good Standing and Power</w:t>
      </w:r>
      <w:r>
        <w:rPr>
          <w:rFonts w:ascii="Times New Roman;Times;Serif" w:hAnsi="Times New Roman;Times;Serif"/>
          <w:b w:val="false"/>
          <w:i w:val="false"/>
          <w:caps w:val="false"/>
          <w:smallCaps w:val="false"/>
          <w:sz w:val="20"/>
        </w:rPr>
        <w:t>. Each of the Company, its Subsidiaries and the PRC Operating Entities is a corporation or other entity duly incorporated or otherwise organized, validly existing and in good standing under the laws of its jurisdiction of incorporation or organization (as applicable) and has the requisite corporate power to own, lease and operate its properties and assets and to conduct its business as it is now being conducted. Each of the Company, its Subsidiaries and the PRC Operating Entities is duly qualified to do business and is in good standing in every jurisdiction in which the nature of the business conducted or property owned by it makes such qualification necessary except for any jurisdiction(s) (alone or in the aggregate) in which the failure to be so qualified will not have a Material Adverse Effect (as defined in Section 2.1(g) hereof) on the Company’s consolidated financial condition.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Corporate Power; Authority and Enforcement</w:t>
      </w:r>
      <w:r>
        <w:rPr>
          <w:rFonts w:ascii="Times New Roman;Times;Serif" w:hAnsi="Times New Roman;Times;Serif"/>
          <w:b w:val="false"/>
          <w:i w:val="false"/>
          <w:caps w:val="false"/>
          <w:smallCaps w:val="false"/>
          <w:sz w:val="20"/>
        </w:rPr>
        <w:t xml:space="preserve">. The Company has the requisite corporate power and authority to enter into and perform this Agreement and the Lock-Up Agreement, attached hereto as </w:t>
      </w:r>
      <w:r>
        <w:rPr>
          <w:rFonts w:ascii="Times New Roman;Times;Serif" w:hAnsi="Times New Roman;Times;Serif"/>
          <w:b w:val="false"/>
          <w:i w:val="false"/>
          <w:caps w:val="false"/>
          <w:smallCaps w:val="false"/>
          <w:sz w:val="20"/>
          <w:u w:val="single"/>
        </w:rPr>
        <w:t xml:space="preserve">Exhibit A </w:t>
      </w:r>
      <w:r>
        <w:rPr>
          <w:rFonts w:ascii="Times New Roman;Times;Serif" w:hAnsi="Times New Roman;Times;Serif"/>
          <w:b w:val="false"/>
          <w:i w:val="false"/>
          <w:caps w:val="false"/>
          <w:smallCaps w:val="false"/>
          <w:sz w:val="20"/>
        </w:rPr>
        <w:t>(collectively, the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”),and to issue and sell the Shares in accordance with the terms hereof. The execution, delivery and performance of the Transaction Documents by the Company and the consummation by it of the transactions contemplated hereby and thereby have been duly and validly authorized by all necessary corporate action, and no further consent or authorization of the Company or its Board of Directors or stockholders is required. Each of the Transaction Documents constitutes, or shall constitute when executed and delivered, a valid and binding obligation of the Company enforceable against the Company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authorized capital stock of the Company and the shares thereof currently issued and outstanding as of the date hereof is set forth in the Company’s filings made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All of the issued and outstanding shares of common stock of the Company have been duly and validly authorized. The offer and sale of all capital stock, convertible securities, rights, warrants, or options of the Company issued prior to the Closing complied with all applicable Federal and state securities laws.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Shares</w:t>
      </w:r>
      <w:r>
        <w:rPr>
          <w:rFonts w:ascii="Times New Roman;Times;Serif" w:hAnsi="Times New Roman;Times;Serif"/>
          <w:b w:val="false"/>
          <w:i w:val="false"/>
          <w:caps w:val="false"/>
          <w:smallCaps w:val="false"/>
          <w:sz w:val="20"/>
        </w:rPr>
        <w:t>. The Shares to be issued at the Closing have been duly authorized by all necessary corporate action and the Shares, when paid for or issued in accordance with the terms hereof, will be validly issued and outstanding, fully paid and nonassessable and, immediately after the Closing, the Purchaser will be the record and beneficial owners of all of such securities and have good and valid title to all of such securities, free and clear of all encumbrances.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There are no outstanding preemptive, conversion or other rights, options, warrants or agreements granted or issued by or binding upon any Subsidiary for the purchase or acquisition of any shares of capital stock of any Subsidiary or any other securities convertible into, exchangeable for or evidencing the rights to subscribe for any shares of such capital stock. Neither the Company nor any Subsidiary is subject to any obligation (contingent or otherwise) to repurchase or otherwise acquire or retire any shares of the capital stock of any Subsidiary or any convertible securities, rights, warrants or options of the type described in the preceding sentence. Except as filed as exhibits with the Commission, neither the Company nor any Subsidiary is party to, nor has any knowledge of, any agreement restricting the voting or transfer of any shares of the capital stock of any Subsidiary. For the purposes of this Agreement,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shall mean any corporation or other entity of which at least a majority of the securities or other ownership interests having ordinary voting power (absolutely or contingently) for the election of directors or other persons performing similar functions are at the time owned directly or indirectly by the Company and/or any of its other Subsidiaries. All of the outstanding shares of capital stock of each Subsidiary has been duly authorized and validly issued, and are fully paid and nonassessable.</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Commission Documents,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it with the Commission pursuant to the reporting requirements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including material filed pursuant to Section 13(a) or 15(d) of the Exchange Act (all of the foregoing including filings incorporated by reference therein being referred to herein as the “</w:t>
      </w:r>
      <w:r>
        <w:rPr>
          <w:rFonts w:ascii="Times New Roman;Times;Serif" w:hAnsi="Times New Roman;Times;Serif"/>
          <w:b w:val="false"/>
          <w:i w:val="false"/>
          <w:caps w:val="false"/>
          <w:smallCaps w:val="false"/>
          <w:sz w:val="20"/>
          <w:u w:val="single"/>
        </w:rPr>
        <w:t>Commission Documents</w:t>
      </w:r>
      <w:r>
        <w:rPr>
          <w:rFonts w:ascii="Times New Roman;Times;Serif" w:hAnsi="Times New Roman;Times;Serif"/>
          <w:b w:val="false"/>
          <w:i w:val="false"/>
          <w:caps w:val="false"/>
          <w:smallCaps w:val="false"/>
          <w:sz w:val="20"/>
        </w:rPr>
        <w:t>”). The Company has not provided to the Purchaser any material non-public information or other information which, according to applicable law, rule or regulation, was required to have been disclosed publicly by the Company but which has not been so disclosed, other than (i) with respect to the transactions contemplated by this Agreement, or (ii) pursuant to a non-disclosure or confidentiality agreement signed by the Purchaser. At the time of the respective filings, the Form 10-K’s and the Form 10-Q’s complied in all material respects with the requirements of the Exchange Act and the rules and regulations of the Commission promulgated thereunder and other federal, state and local laws, rules and regulations applicable to such documents. As of their respective filing dates, none of the Form 10-K’s or Form 10-Q’s contained any untrue statement of a material fact; and none omitted to state a material fact required to be stated therein or necessary in order to make the statements therein, in light of the circumstances under which they were made, not misleading. The financial statements of the Company included in the Commission Documents (the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comply as to form in all material respects with applicable accounting requirements and the published rules and regulations of the Commission or other applicable rules and regulations with respect thereto. The Financial Statements have been prepared in accordance with United States generally accepted accounting principles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applied on a consistent basis during the periods involved (except (i) as may be otherwise indicated in the Financial Statements or the notes thereto or (ii) in the case of unaudited interim statements, to the extent they may not include footnotes or may be condensed or summary statements), and fairly present in all material respects the consolidated financial position of the Company as of the dates thereof and the results of operations and cash flows for the periods then ended (subject, in the case of unaudited statements, to normal year-end audit adjustments).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Since 8 May, 2025, neither the Company, the Subsidiaries, nor the PRC Operating Entities has experienced or suffered any Material Adverse Effect. For the purposes of this Agreement,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any material adverse effect on the business, operations, properties, or financial condition of the Company, its Subsidiaries, the PRC Operating Entities, individually, or in the aggregate and/or any condition, circumstance, or situation that would prohibit or otherwise materially interfere with the ability of the Company to perform any of its obligations under this Agreement in any material respect.</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 Undisclosed Liabilities</w:t>
      </w:r>
      <w:r>
        <w:rPr>
          <w:rFonts w:ascii="Times New Roman;Times;Serif" w:hAnsi="Times New Roman;Times;Serif"/>
          <w:b w:val="false"/>
          <w:i w:val="false"/>
          <w:caps w:val="false"/>
          <w:smallCaps w:val="false"/>
          <w:sz w:val="20"/>
        </w:rPr>
        <w:t>. Other than as set forth in the Commission Documents, to the knowledge of the Company, neither the Company, the Subsidiaries, nor the PRC Operating Entities has any liabilities, obligations, claims or losses (whether liquidated or unliquidated, secured or unsecured, absolute, accrued, contingent or otherwise) other than those incurred in the ordinary course of the Company’s, the Subsidiaries’ and the PRC Operating Entities’ respective businesses since 8 May, 2025 and which, individually or in the aggregate, do not or would not have a Material Adverse Effect on the Company, the Subsidiaries or the PRC Operating Entities.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Undisclosed Events or Circumstances</w:t>
      </w:r>
      <w:r>
        <w:rPr>
          <w:rFonts w:ascii="Times New Roman;Times;Serif" w:hAnsi="Times New Roman;Times;Serif"/>
          <w:b w:val="false"/>
          <w:i w:val="false"/>
          <w:caps w:val="false"/>
          <w:smallCaps w:val="false"/>
          <w:sz w:val="20"/>
        </w:rPr>
        <w:t>. To the Company’s knowledge, no event or circumstance has occurred or exists with respect to the Company, the Subsidiaries or the PRC Operating Entities or their respective businesses, properties, operations or financial condition, which, under applicable law, rule or regulation, requires public disclosure or announcement by the Company but which has not been so publicly announced or disclosed.</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The Financial Statements set forth all outstanding secured and unsecured Indebtedness of the Company on a consolidated basis, or for which the Company, the Subsidiaries or the PRC Operating Entities have commitments as of the date of Financial Statements or any subsequent period that would require disclosure. For the purposes of this Agreement,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shall mean (a) any liabilities for borrowed money or amounts owed in excess of $50,000 (other than trade accounts payable incurred in the ordinary course of business), (b) all guaranties, endorsements and other contingent obligations in respect of Indebtedness of others, whether or not the same should be reflected in the Company’s consolidated balance sheet (or the notes thereto), except guaranties by endorsement of negotiable instruments for deposit or collection or similar transactions in the ordinary course of business; and (c) the present value of any lease payments in excess of $25,000 due under leases required to be capitalized in accordance with GAAP. Neither the Company, the Subsidiaries nor the PRC Operating Entities is in default with respect to any Indebtedness.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Each of the Company, the Subsidiaries and the PRC Operating Entities has good and marketable title to (i) all properties and assets purportedly owned or used by them as reflected in the Financial Statements, (ii) all properties and assets necessary for the conduct of their business as currently conducted, and (iii) all of the real and personal property reflected in the Financial Statements free and clear of any Lien. All leases are valid and subsisting and in full force and effect.</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Actions Pending</w:t>
      </w:r>
      <w:r>
        <w:rPr>
          <w:rFonts w:ascii="Times New Roman;Times;Serif" w:hAnsi="Times New Roman;Times;Serif"/>
          <w:b w:val="false"/>
          <w:i w:val="false"/>
          <w:caps w:val="false"/>
          <w:smallCaps w:val="false"/>
          <w:sz w:val="20"/>
        </w:rPr>
        <w:t>. There is no action, suit, claim, investigation, arbitration, alternate dispute resolution proceeding or any other proceeding pending or, to the knowledge of the Company, threatened against or involving the Company, any Subsidiary or any PRC Operating Entity which questions the validity of this Agreement or any of the other Transaction Documents or the transactions contemplated hereby or any action taken or to be taken pursuant hereto or thereto.</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Compliance with Law</w:t>
      </w:r>
      <w:r>
        <w:rPr>
          <w:rFonts w:ascii="Times New Roman;Times;Serif" w:hAnsi="Times New Roman;Times;Serif"/>
          <w:b w:val="false"/>
          <w:i w:val="false"/>
          <w:caps w:val="false"/>
          <w:smallCaps w:val="false"/>
          <w:sz w:val="20"/>
        </w:rPr>
        <w:t>. The Company, the Subsidiaries and the PRC Operating Entities have all material franchises, permits, licenses, consents and other governmental or regulatory authorizations and approvals necessary for the conduct of their respective business as now being conducted by it unless the failure to possess such franchises, permits, licenses, consents and other governmental or regulatory authorizations and approvals, individually or in the aggregate, could not reasonably be expected to have a Material Adverse Effect.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No Violation.</w:t>
      </w:r>
      <w:r>
        <w:rPr>
          <w:rFonts w:ascii="Times New Roman;Times;Serif" w:hAnsi="Times New Roman;Times;Serif"/>
          <w:b w:val="false"/>
          <w:i w:val="false"/>
          <w:caps w:val="false"/>
          <w:smallCaps w:val="false"/>
          <w:sz w:val="20"/>
        </w:rPr>
        <w:t xml:space="preserve"> The business of the Company, the Subsidiaries and the PRC Operating Entities is not being conducted in violation of any Federal, state, local or foreign governmental laws, or rules, regulations and ordinances of any of any governmental entity, except for possible violations which singularly or in the aggregate could not reasonably be expected to have a Material Adverse Effect. The Company is not required under Federal, state, local or foreign law, rule or regulation to obtain any consent, authorization or order of, or make any filing or registration with, any court or governmental agency in order for it to execute, deliver or perform any of its obligations under the Transaction Documents, or issue and sell the Shares, in accordance with the terms hereof (other than (x) any consent, authorization or order that has been obtained as of the date hereof, (y) any filing or registration that has been made as of the date hereof or (z) any filings which may be required to be made by the Company with the Commission or state securities administrators subsequent to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the Transaction Documents by the Company and the consummation by the Company of the transactions contemplated herein do not and will not (i) violate any provision of the Company’s Articles of Incorporation or Bylaws, (ii) conflict with, or constitute a default (or an event which with notice or lapse of time or both would become a default) under, or give to others any rights of termination, amendment, acceleration or cancellation of, any agreement, mortgage, deed of trust, indenture, note, bond, license, lease agreement, instrument or obligation to which the Company is a party or by which it or its properties or assets are bound, (iii) create or impose a lien, mortgage, security interest, pledge, charge or encumbrance (collectively, “</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xml:space="preserve">”) of any nature on any property of the Company under any agreement or any commitment to which the Company is a party or by which the Company is bound or by which any of its respective properties or assets are bound, or (iv) result in a violation of any federal, state, local or foreign statute, rule, regulation, order, judgment or decree (including Federal and state securities laws and regulations) applicable to the Company or any of its subsidiaries or by which any property or asset of the Company or any of its subsidiaries are bound or affected,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excluded from the foregoing in all cases are such conflicts, defaults, terminations, amendments, accelerations, cancellations and violations as would not, individually or in the aggregate, have a Material Adverse Effect.</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Each of the Company, the Subsidiaries and the PRC Operating Entities, to the extent its applicable, has accurately prepared and filed all federal, state and other tax returns required by law to be filed by it, has paid or made provisions for the payment of all taxes shown to be due and all additional assessments, and adequate provisions have been and are reflected in the consolidated financial statements of the Company for all current taxes and other charges to which the Company, the Subsidiaries or the PRC Operating Entities, if any, is subject and which are not currently due and payable. None of the federal income tax returns of the Company have been audited by the Internal Revenue Service. The Company has no knowledge of any additional assessments, adjustments or contingent tax liability (whether federal, state or foreign) of any nature whatsoever, whether pending or threatened against the Company or any subsidiary for any period, nor of any basis for any such assessment, adjustment or contingency.</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No brokers fees, finder’s fees or financial advisory fees or commissions will be payable by the Company with respect to the transactions contemplated by this Agreement and the other Transaction Documents.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Neither this Agreement nor any other documents, certificates or instruments furnished to the Purchaser by or on behalf of the Company, the Subsidiaries or the PRC Operating Entities in connection with the transactions contemplated by this Agreement contain any untrue statement of a material fact or omit to state a material fact necessary in order to make the statements made herein or therein, taken as a whole and in the light of the circumstances under which they were made herein or therein, not false or misleading.</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Each of the Company, the Subsidiaries and the PRC Operating Entities, owns or has the lawful right to use all patents, trademarks, domain names (whether or not registered) and any patentable improvements or copyrightable derivative works thereof, websites and intellectual property rights relating thereto, service marks, trade names, copyrights, licenses and authorizations, if any, and all rights with respect to the foregoing, if any, which are necessary for the conduct of their respective business as now conducted without any conflict with the rights of others, except where the failure to so own or possess would not have a Material Adverse Effect.</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Books and Record Internal Accounting Controls</w:t>
      </w:r>
      <w:r>
        <w:rPr>
          <w:rFonts w:ascii="Times New Roman;Times;Serif" w:hAnsi="Times New Roman;Times;Serif"/>
          <w:b w:val="false"/>
          <w:i w:val="false"/>
          <w:caps w:val="false"/>
          <w:smallCaps w:val="false"/>
          <w:sz w:val="20"/>
        </w:rPr>
        <w:t>. Except as may have otherwise been disclosed in the Commission Documents, the books and records of the Company, the Subsidiaries and the PRC Operating Entities accurately reflect in all material respects the information relating to the business of the Company, the Subsidiaries and the PRC Operating Entities, the location and collection of their assets, and the nature of all transactions giving rise to the obligations or accounts receivable of the Company, the Subsidiaries or the PRC Operating Entities. Except as disclosed in the Commission Documents, the Company, the Subsidiaries and the PRC Operating Entities maintain a system of internal accounting controls sufficient, in the judgment of the Company,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actions are taken with respect to any differences.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Material Agreements</w:t>
      </w:r>
      <w:r>
        <w:rPr>
          <w:rFonts w:ascii="Times New Roman;Times;Serif" w:hAnsi="Times New Roman;Times;Serif"/>
          <w:b w:val="false"/>
          <w:i w:val="false"/>
          <w:caps w:val="false"/>
          <w:smallCaps w:val="false"/>
          <w:sz w:val="20"/>
        </w:rPr>
        <w:t>. Any and all written or oral contracts, instruments, agreements, commitments, obligations, plans or arrangements, the Company, the Subsidiaries and the PRC Operating Entities is a party to, that a copy of which would be required to be filed with the Commission as an exhibit to a registration statement on Form S-1 (collectively, the “</w:t>
      </w:r>
      <w:r>
        <w:rPr>
          <w:rFonts w:ascii="Times New Roman;Times;Serif" w:hAnsi="Times New Roman;Times;Serif"/>
          <w:b w:val="false"/>
          <w:i w:val="false"/>
          <w:caps w:val="false"/>
          <w:smallCaps w:val="false"/>
          <w:sz w:val="20"/>
          <w:u w:val="single"/>
        </w:rPr>
        <w:t>Material Agreements</w:t>
      </w:r>
      <w:r>
        <w:rPr>
          <w:rFonts w:ascii="Times New Roman;Times;Serif" w:hAnsi="Times New Roman;Times;Serif"/>
          <w:b w:val="false"/>
          <w:i w:val="false"/>
          <w:caps w:val="false"/>
          <w:smallCaps w:val="false"/>
          <w:sz w:val="20"/>
        </w:rPr>
        <w:t>”) if the Company or any subsidiary were registering securities under the Securities Act has previously been publicly filed with the Commission in the Commission Documents. Each of the Company, the Subsidiaries and the PRC Operating Entities has in all material respects performed all the obligations required to be performed by them to date under the foregoing agreements, have received no notice of default and are not in default under any Material Agreement now in effect the result of which would cause a Material Adverse Effect.</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Except as set forth in the Financial Statements or in the Commission Documents, there are no loans, leases, agreements, contracts, royalty agreements, management contracts or arrangements or other continuing transactions between (a) the Company or any Subsidiary on the one hand, and (b) on the other hand, any officer, employee, consultant or director of the Company, or any of Subsidiaries, or any person owning any capital stock of the Company or any Subsidiary or any member of the immediate family of such officer, employee, consultant, director or stockholder or any corporation or other entity controlled by such officer, employee, consultant, director or stockholder, or a member of the immediate family of such officer, employee, consultant, director or stockholder.</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Securities Act of 1933</w:t>
      </w:r>
      <w:r>
        <w:rPr>
          <w:rFonts w:ascii="Times New Roman;Times;Serif" w:hAnsi="Times New Roman;Times;Serif"/>
          <w:b w:val="false"/>
          <w:i w:val="false"/>
          <w:caps w:val="false"/>
          <w:smallCaps w:val="false"/>
          <w:sz w:val="20"/>
        </w:rPr>
        <w:t>. Assuming the accuracy of the representations of the Purchaser set forth in Section 2.2 hereof, the Company has complied and will comply with all applicable federal and state securities laws in connection with the offer, issuance and sale of the Shares hereunder. Neither the Company nor anyone acting on its behalf, directly or indirectly, has or will sell, offer to sell or solicit offers to buy any of the Shares, or solicit offers with respect thereto from, or enter into any preliminary conversations or negotiations relating thereto with, any person, or has taken or will take any action so as to bring the issuance and sale of any of the Shares in violation of the registration provisions of the Securities Act and applicable state securities laws, and neither the Company nor any of its affiliates, nor any person acting on its or their behalf, has engaged in any form of general solicitation or general advertising (within the meaning of Regulation D under the Securities Act) in connection with the offer or sale of any of the Shares.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Governmental Approvals</w:t>
      </w:r>
      <w:r>
        <w:rPr>
          <w:rFonts w:ascii="Times New Roman;Times;Serif" w:hAnsi="Times New Roman;Times;Serif"/>
          <w:b w:val="false"/>
          <w:i w:val="false"/>
          <w:caps w:val="false"/>
          <w:smallCaps w:val="false"/>
          <w:sz w:val="20"/>
        </w:rPr>
        <w:t>. Except for the filing of any notice prior or subsequent to the Closing Date that may be required under applicable state and/or Federal securities laws (which if required, shall be filed on a timely basis), no authorization, consent, approval, license, exemption of, filing or registration with any court or governmental department, commission, board, bureau, agency or instrumentality, domestic or foreign, is or will be necessary for, or in connection with, the execution or delivery of the Shares, or for the performance by the Company of its obligations under the Transaction Documents.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Employees</w:t>
      </w:r>
      <w:r>
        <w:rPr>
          <w:rFonts w:ascii="Times New Roman;Times;Serif" w:hAnsi="Times New Roman;Times;Serif"/>
          <w:b w:val="false"/>
          <w:i w:val="false"/>
          <w:caps w:val="false"/>
          <w:smallCaps w:val="false"/>
          <w:sz w:val="20"/>
        </w:rPr>
        <w:t>. Except as disclosed in the Commission Documents, neither the Company nor any subsidiary has any collective bargaining arrangements covering any of its employees. Since 8 May, 2025, no officer, consultant or key employee of the Company or any subsidiary whose termination, either individually or in the aggregate, would have a Material Adverse Effect, has terminated or, to the knowledge of the Company, has any present intention of terminating his or her employment or engagement with the Company or any subsidiary.</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Public Utility Holding Company Act; Investment Company Act and U.S. Real Property Holding Corporation Status</w:t>
      </w:r>
      <w:r>
        <w:rPr>
          <w:rFonts w:ascii="Times New Roman;Times;Serif" w:hAnsi="Times New Roman;Times;Serif"/>
          <w:b w:val="false"/>
          <w:i w:val="false"/>
          <w:caps w:val="false"/>
          <w:smallCaps w:val="false"/>
          <w:sz w:val="20"/>
        </w:rPr>
        <w:t>. The Company is not a “holding company” or a “public utility company” as such terms are defined in the Public Utility Holding Company Act of 1935, as amended. The Company is not, and as a result of and immediately upon the Closing will not be, an “investment company” or a company “controlled” by an “investment company,” within the meaning of the Investment Company Act of 1940, as amended. The Company is not and has never been a U.S. real property holding corporation within the meaning of Section 897 of the Internal Revenue Code of 1986, as amended.</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No liability to the Pension Benefit Guaranty Corporation has been incurred with respect to any Plan (as defined below) by the Company or any of its subsidiaries which is or would be materially adverse to the Company and its subsidiaries. The execution and delivery of this Agreement and the other Transaction Documents and the issuance and sale of the Shares will not involve any transaction which is subject to the prohibitions of Section 406 of ERISA or in connection with which a tax could be imposed pursuant to Section 4975 of the Internal Revenue Code of 1986, as amended, provided, that, if the Purchaser, or any person or entity that owns a beneficial interest in the Purchaser, is an “employee pension benefit plan” (within the meaning of Section 3(2) of ERISA) with respect to which the Company is a “party in interest” (within the meaning of Section 3(14) of ERISA), the requirements of Sections 407(d)(5) and 408(e) of ERISA, if applicable, are met. As used in this Section 2.1(bb), the term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shall mean an “employee pension benefit plan” (as defined in Section 3 of ERISA) which is or has been established or maintained, or to which contributions are or have been made, by the Company or any subsidiary or by any trade or business, whether or not incorporated, which, together with the Company or any subsidiary, is under common control, as described in Section 414(b) or (c)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xml:space="preserve"> The Company is in compliance with the applicable provisions of the Sarbanes-Oxley Act of 2002 (the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and the rules and regulations promulgated thereunder, that are effective and for which compliance by the Company is required as of the date hereof.</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Additional PRC Representations and Warranties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material consents, approvals, authorizations or licenses requisite under PRC law for the due and proper establishment and operation of the PRC Operating Entities have been duly obtained from the relevant PRC governmental authorities and are in full force and effect.</w:t>
      </w:r>
    </w:p>
    <w:p>
      <w:pPr>
        <w:pStyle w:val="TextBody"/>
        <w:bidi w:val="0"/>
        <w:spacing w:before="240" w:after="240"/>
        <w:ind w:left="240" w:right="24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filings and registrations with the PRC governmental authorities required in respect of the PRC Operating Entities and their capital structure and operations including, without limitation, to the extent applicable, tax bureau and customs authorities, have been duly completed in accordance with the relevant PRC rules and regulations, except where the failure to complete such filings and registrations does not, and would not, individually or in the aggregate, have a Material Adverse Effect.</w:t>
      </w:r>
    </w:p>
    <w:p>
      <w:pPr>
        <w:pStyle w:val="TextBody"/>
        <w:bidi w:val="0"/>
        <w:spacing w:before="240" w:after="240"/>
        <w:ind w:left="240" w:right="24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Neither the Company, the Subsidiaries, nor any PRC Operating Entity or affiliated entity is in receipt of any letter or notice from any relevant PRC governmental or quasi-governmental authority notifying it of the revocation, or otherwise questioning the validity, of any licenses or qualifications issued to it or any subsidy granted to it by any PRC governmental authority, or the need for compliance or remedial actions in respect of the activities carried out by the Company or such subsidiary.</w:t>
      </w:r>
    </w:p>
    <w:p>
      <w:pPr>
        <w:pStyle w:val="TextBody"/>
        <w:bidi w:val="0"/>
        <w:spacing w:before="240" w:after="240"/>
        <w:ind w:left="240" w:right="24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PRC Operating Entities have conducted their respective business activities within their permitted scope of business or have otherwise operated their respective businesses in compliance with all relevant legal requirements and with all requisite licenses and approvals granted by competent PRC governmental authorities other than such non-compliance that do not, and would not, individually or in the aggregate, have a Material Adverse Effect. As to licenses, approvals and government grants and concessions requisite or material for the conduct of any part of the PRC Operating Entities’ business which is subject to periodic renewal, neither the Company, the Subsidiaries, nor any PRC Operating Entity has any knowledge of any grounds on which such requisite renewals will not be granted by the relevant PRC governmental authorities.</w:t>
      </w:r>
    </w:p>
    <w:p>
      <w:pPr>
        <w:pStyle w:val="TextBody"/>
        <w:bidi w:val="0"/>
        <w:spacing w:before="240" w:after="240"/>
        <w:ind w:left="240" w:right="24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PRC Operating Entities have complied with all applicable PRC laws and regulations in all material respects, including without limitation, laws and regulations pertaining to welfare fund contributions, social benefits, medical benefits, insurance, retirement benefits, pensions or the like.</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No Additional Agreements</w:t>
      </w:r>
      <w:r>
        <w:rPr>
          <w:rFonts w:ascii="Times New Roman;Times;Serif" w:hAnsi="Times New Roman;Times;Serif"/>
          <w:b w:val="false"/>
          <w:i w:val="false"/>
          <w:caps w:val="false"/>
          <w:smallCaps w:val="false"/>
          <w:sz w:val="20"/>
        </w:rPr>
        <w:t>. Neither the Company nor any of its affiliates has any agreement or understanding with the Purchaser with respect to the transactions contemplated by the Transaction Documents other than as specified in the Transaction Documents.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Foreign Corrupt Practices Act</w:t>
      </w:r>
      <w:r>
        <w:rPr>
          <w:rFonts w:ascii="Times New Roman;Times;Serif" w:hAnsi="Times New Roman;Times;Serif"/>
          <w:b w:val="false"/>
          <w:i w:val="false"/>
          <w:caps w:val="false"/>
          <w:smallCaps w:val="false"/>
          <w:sz w:val="20"/>
        </w:rPr>
        <w:t>. Neither the Company, the Subsidiaries, the PRC Operating Entities, nor to the knowledge of the Company, the Subsidiaries, the PRC Operating Entities any agent or other person acting on behalf of the Company, the Subsidiaries or the PRC Operating Entities, has, directly or indirectly, (i) used any funds, or will use any proceeds from the sale of the Shares,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of the Company (or made by any Person acting on their behalf of which the Company is aware) or any members of their respective management which is in violation of any applicable law, or (iv) has violated in any material respect any provision of the Foreign Corrupt Practices Act of 1977, as amended, and the rules and regulations thereunder which was applicable to the Company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PFIC</w:t>
      </w:r>
      <w:r>
        <w:rPr>
          <w:rFonts w:ascii="Times New Roman;Times;Serif" w:hAnsi="Times New Roman;Times;Serif"/>
          <w:b w:val="false"/>
          <w:i w:val="false"/>
          <w:caps w:val="false"/>
          <w:smallCaps w:val="false"/>
          <w:sz w:val="20"/>
        </w:rPr>
        <w:t>. None of the Company or any of its Subsidiaries is or intends to become a “passive foreign investment company” within the meaning of Section 1297 of the U.S. Internal Revenue Code of 1986, as amended.</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None of the Company or any of its Subsidiaries nor, to the knowledge of the Company, any director, officer, agent, employee, affiliate or person acting on behalf of any of the Company or any of its Subsidiaries, is currently subject to any U.S. sanctions administered by the Office of Foreign Assets Control of the U.S. Treasury Department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and the Company will not directly or indirectly use the proceeds of the sale of the Shares, or lend, contribute or otherwise make available such proceeds to any subsidiary of the Company, joint venture partner or other Person or entity, towards any sales or operations in Cuba, Iran, Syria, Sudan, Myanmar or any other country sanctioned by OFAC or for the purpose of financing the activities of any Person currently subject to any U.S. sanctions administered by OFAC.</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The operations of each of the Company, the Subsidiaries and the PRC Operating Entities have been conducted at all times in compliance with the money laundering requirements of all applicable governmental authorities and any related or similar rules, regulations or guidelines, issued, administered or enforced by any governmental authority (collectively, the “Money Laundering Laws”) and no action, suit or proceeding by or before any court or governmental authority or any arbitrator involving any of the Company, the Subsidiaries or the PRC Operating Entities with respect to the Money Laundering Laws is pending or, to the best knowledge of the Company, threatened.</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Representations and Warranties of the Purchaser</w:t>
      </w:r>
      <w:r>
        <w:rPr>
          <w:rFonts w:ascii="Times New Roman;Times;Serif" w:hAnsi="Times New Roman;Times;Serif"/>
          <w:b w:val="false"/>
          <w:i w:val="false"/>
          <w:caps w:val="false"/>
          <w:smallCaps w:val="false"/>
          <w:sz w:val="20"/>
        </w:rPr>
        <w:t>. The Purchaser hereby makes the following representations and warranties to the Company as of the date hereof:</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and Good Standing of the Purchaser</w:t>
      </w:r>
      <w:r>
        <w:rPr>
          <w:rFonts w:ascii="Times New Roman;Times;Serif" w:hAnsi="Times New Roman;Times;Serif"/>
          <w:b w:val="false"/>
          <w:i w:val="false"/>
          <w:caps w:val="false"/>
          <w:smallCaps w:val="false"/>
          <w:sz w:val="20"/>
        </w:rPr>
        <w:t>. If the Purchaser is an entity, the Purchaser is a corporation, partnership or limited liability company duly incorporated or organized, validly existing and in good standing under the laws of the jurisdiction of its incorporation or organization.</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Authorization and Power</w:t>
      </w:r>
      <w:r>
        <w:rPr>
          <w:rFonts w:ascii="Times New Roman;Times;Serif" w:hAnsi="Times New Roman;Times;Serif"/>
          <w:b w:val="false"/>
          <w:i w:val="false"/>
          <w:caps w:val="false"/>
          <w:smallCaps w:val="false"/>
          <w:sz w:val="20"/>
        </w:rPr>
        <w:t>. The Purchaser has the requisite power and authority to enter into and perform this Agreement and each of the other Transaction Documents to which the Purchaser is a party and to purchase the Shares being sold to it hereunder. The execution, delivery and performance of this Agreement and each of the other Transaction Documents to which the Purchaser is a party and the consummation by it of the transactions contemplated hereby have been duly authorized by all necessary corporate, partnership or limited liability company action, and no further consent or authorization of the Purchaser or its Board of Directors, stockholders, partners, members, or managers, as the case may be, is required. This Agreement and each of the other Transaction Documents to which the Purchaser is a party has been duly authorized, executed and delivered by the Purchaser and constitutes, or shall constitute when executed and delivered, a valid and binding obligation of the Purchaser enforceable against the Purchaser in accordance with the terms hereof.</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this Agreement and each of the other Transaction Documents to which the Purchaser is a party and the consummation by the Purchaser of the transactions contemplated hereby and thereby or related hereto do not and will not (i) result in a violation of the Purchaser’s charter documents, bylaws, operating agreement, partnership agreement or other organizational documents or (ii) conflict with, or constitute a default (or an event which with notice or lapse of time or both would become a default) under, or give to others any rights of termination, amendment, acceleration or cancellation of any agreement, indenture or instrument or obligation to which the Purchaser is a party or by which its properties or assets are bound, or result in a violation of any law, rule, or regulation, or any order, judgment or decree of any court or governmental agency applicable to the Purchaser or its properties (except for such conflicts, defaults and violations as would not, individually or in the aggregate, have a material adverse effect on such Purchaser). The Purchaser is not required to obtain any consent, authorization or order of, or make any filing or registration with, any court or governmental agency in order for it to execute, deliver or perform any of its obligations under this Agreement or any other Transaction Document to which the Purchaser is a party or to purchase the Shares in accordance with the terms hereof, provided, that for purposes of the representation made in this sentence, the Purchaser is assuming and relying upon the accuracy of the relevant representations and agreements of the Company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Regulation S</w:t>
      </w:r>
      <w:r>
        <w:rPr>
          <w:rFonts w:ascii="Times New Roman;Times;Serif" w:hAnsi="Times New Roman;Times;Serif"/>
          <w:b w:val="false"/>
          <w:i w:val="false"/>
          <w:caps w:val="false"/>
          <w:smallCaps w:val="false"/>
          <w:sz w:val="20"/>
        </w:rPr>
        <w:t>. The Purchaser is a “non-US person” as defined in Regulation S and shall purchase the Shares in compliance with Regulation 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Acquisition for Investment</w:t>
      </w:r>
      <w:r>
        <w:rPr>
          <w:rFonts w:ascii="Times New Roman;Times;Serif" w:hAnsi="Times New Roman;Times;Serif"/>
          <w:b w:val="false"/>
          <w:i w:val="false"/>
          <w:caps w:val="false"/>
          <w:smallCaps w:val="false"/>
          <w:sz w:val="20"/>
        </w:rPr>
        <w:t>. The Purchaser is acquiring the Shares solely for its own account for the purpose of investment and not with a view to or for sale in connection with a distribution. The Purchaser does not have a present intention to sell the Shares, nor a present arrangement (whether or not legally binding) or intention to effect any distribution of the Shares to or through any person or entity. The Purchaser acknowledges that it is able to bear the financial risks associated with an investment in the Shares and that it has been given full access to such records of the Company, the Subsidiaries and the PRC Operating Entities and to the officers of the Company, the Subsidiaries and the PRC Operating Entities and received such information as it has deemed necessary or appropriate to conduct its due diligence investigation and has sufficient knowledge and experience in investing in companies similar to the Company in terms of the Company’s stage of development so as to be able to evaluate the risks and merits of its investment in the Company. The Purchaser further acknowledges that it understands the risks of investing in companies domiciled and/or which operate primarily in the PRC and that the purchase of the Shares involves substantial risks.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Opportunities for Additional Information</w:t>
      </w:r>
      <w:r>
        <w:rPr>
          <w:rFonts w:ascii="Times New Roman;Times;Serif" w:hAnsi="Times New Roman;Times;Serif"/>
          <w:b w:val="false"/>
          <w:i w:val="false"/>
          <w:caps w:val="false"/>
          <w:smallCaps w:val="false"/>
          <w:sz w:val="20"/>
        </w:rPr>
        <w:t>. The Purchaser acknowledges that it has had the opportunity to ask questions of and receive answers from, or obtain additional information from, the executive officers of the Company concerning the financial and other affairs of the Company.</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The Purchaser acknowledges that the Shares were not offered to the Purchaser by means of any form of general or public solicitation or general advertising, or publicly disseminated advertisements or sales literature, including (i) any advertisement, article, notice or other communication published in any newspaper, magazine, or similar media, or broadcast over television or radio, or (ii) any seminar or meeting to which the Purchaser was invited by any of the foregoing means of communications.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The Purchaser understands that the Shares must be held indefinitely unless such Shares are registered under the Securities Act or an exemption from registration is available. The Purchaser acknowledges that the Purchaser is familiar with Rule 144, of the rules and regulations of the Commission, as amended, promulgated pursuant to the Securities Act (“</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and that such person has been advised that Rule 144 permits resales only under certain circumstances. The Purchaser understands that to the extent that Rule 144 is not available, the Purchaser will be unable to sell any Shares without either registration under the Securities Act or the existence of another exemption from such registration requirement.</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Purchaser understands that the Shares are being offered and sold in reliance on a transactional exemption from the registration requirements of Federal and state securities laws and the Company is relying upon the truth and accuracy of the representations, warranties, agreements, acknowledgments and understandings of the Purchaser set forth herein in order to determine the applicability of such exemptions and the suitability of the Purchaser to acquire the Shares.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No Purchaser has any knowledge of any brokerage or finder’s fees or commissions that are or will be payable by the Company to any broker, financial advisor or consultant, finder, placement agent, investment banker, bank or other person or entity with respect to the transactions contemplated by this Agreement.</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with the Purchaser as follows:</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Securities Compliance</w:t>
      </w:r>
      <w:r>
        <w:rPr>
          <w:rFonts w:ascii="Times New Roman;Times;Serif" w:hAnsi="Times New Roman;Times;Serif"/>
          <w:b w:val="false"/>
          <w:i w:val="false"/>
          <w:caps w:val="false"/>
          <w:smallCaps w:val="false"/>
          <w:sz w:val="20"/>
        </w:rPr>
        <w:t>. The Company shall notify the Commission in accordance with its rules and regulations, of the transactions contemplated by any of the Transaction Documents and shall take all other necessary action and proceedings as may be required and permitted by applicable law, rule and regulation, for the legal and valid issuance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Company shall comply, and cause each Subsidiary to comply in all material respects, with all applicable laws, rules, regulations and orders.</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w:t>
      </w:r>
      <w:r>
        <w:rPr>
          <w:rFonts w:ascii="Times New Roman;Times;Serif" w:hAnsi="Times New Roman;Times;Serif"/>
          <w:b w:val="false"/>
          <w:i w:val="false"/>
          <w:caps w:val="false"/>
          <w:smallCaps w:val="false"/>
          <w:sz w:val="20"/>
          <w:u w:val="single"/>
        </w:rPr>
        <w:t xml:space="preserve"> Reporting Requirements</w:t>
      </w:r>
      <w:r>
        <w:rPr>
          <w:rFonts w:ascii="Times New Roman;Times;Serif" w:hAnsi="Times New Roman;Times;Serif"/>
          <w:b w:val="false"/>
          <w:i w:val="false"/>
          <w:caps w:val="false"/>
          <w:smallCaps w:val="false"/>
          <w:sz w:val="20"/>
        </w:rPr>
        <w:t>. The Company shall comply in all respects with its reporting and filing obligations under the Exchange Act.</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w:t>
      </w:r>
      <w:r>
        <w:rPr>
          <w:rFonts w:ascii="Times New Roman;Times;Serif" w:hAnsi="Times New Roman;Times;Serif"/>
          <w:b w:val="false"/>
          <w:i w:val="false"/>
          <w:caps w:val="false"/>
          <w:smallCaps w:val="false"/>
          <w:sz w:val="20"/>
          <w:u w:val="single"/>
        </w:rPr>
        <w:t xml:space="preserve"> Other Agreements</w:t>
      </w:r>
      <w:r>
        <w:rPr>
          <w:rFonts w:ascii="Times New Roman;Times;Serif" w:hAnsi="Times New Roman;Times;Serif"/>
          <w:b w:val="false"/>
          <w:i w:val="false"/>
          <w:caps w:val="false"/>
          <w:smallCaps w:val="false"/>
          <w:sz w:val="20"/>
        </w:rPr>
        <w:t>. The Company shall not enter into any agreement the terms of which would restrict or impair the ability of the Company to perform its obligations under any Transaction Document.</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Disclosure of Transaction</w:t>
      </w:r>
      <w:r>
        <w:rPr>
          <w:rFonts w:ascii="Times New Roman;Times;Serif" w:hAnsi="Times New Roman;Times;Serif"/>
          <w:b w:val="false"/>
          <w:i w:val="false"/>
          <w:caps w:val="false"/>
          <w:smallCaps w:val="false"/>
          <w:sz w:val="20"/>
        </w:rPr>
        <w:t>. The Company shall file with the Commission, the Form 8-K describing the material terms of the transactions contemplated hereby within four (4) Business Days following the Closing Date.</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Conditions Precedent to the Obligation of the Company to Sell the Shares</w:t>
      </w:r>
      <w:r>
        <w:rPr>
          <w:rFonts w:ascii="Times New Roman;Times;Serif" w:hAnsi="Times New Roman;Times;Serif"/>
          <w:b w:val="false"/>
          <w:i w:val="false"/>
          <w:caps w:val="false"/>
          <w:smallCaps w:val="false"/>
          <w:sz w:val="20"/>
        </w:rPr>
        <w:t>. The obligation hereunder of the Company to issue and sell the Shares to the Purchaser is subject to the satisfaction or waiver, at or before the Closing, of each of the conditions set forth below. These conditions are for the Company’s sole benefit and may be waived by the Company at any time in its sole discretion.</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Accuracy of the Purchaser’s Representations and Warranties</w:t>
      </w:r>
      <w:r>
        <w:rPr>
          <w:rFonts w:ascii="Times New Roman;Times;Serif" w:hAnsi="Times New Roman;Times;Serif"/>
          <w:b w:val="false"/>
          <w:i w:val="false"/>
          <w:caps w:val="false"/>
          <w:smallCaps w:val="false"/>
          <w:sz w:val="20"/>
        </w:rPr>
        <w:t>. The representations and warranties of the Purchaser in this Agreement and each of the other Transaction Documents to which the Purchaser is a party shall be true and correct in all material respects as of the date when made and as of the Closing Date as though made at that time, except for representations and warranties that are expressly made as of a particular date, which shall be true and correct in all material respects as of such date.</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 by the Purchaser</w:t>
      </w:r>
      <w:r>
        <w:rPr>
          <w:rFonts w:ascii="Times New Roman;Times;Serif" w:hAnsi="Times New Roman;Times;Serif"/>
          <w:b w:val="false"/>
          <w:i w:val="false"/>
          <w:caps w:val="false"/>
          <w:smallCaps w:val="false"/>
          <w:sz w:val="20"/>
        </w:rPr>
        <w:t>. The Purchaser shall have performed, satisfied and complied in all respects with all covenants, agreements and conditions required by this Agreement to be performed, satisfied or complied with by such Purchaser at or prior to the Closing.</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Injunction</w:t>
      </w:r>
      <w:r>
        <w:rPr>
          <w:rFonts w:ascii="Times New Roman;Times;Serif" w:hAnsi="Times New Roman;Times;Serif"/>
          <w:b w:val="false"/>
          <w:i w:val="false"/>
          <w:caps w:val="false"/>
          <w:smallCaps w:val="false"/>
          <w:sz w:val="20"/>
        </w:rPr>
        <w:t>. No statute, rule, regulation, executive order, decree, ruling or injunction shall have been enacted, entered, promulgated or endorsed by any court or governmental authority of competent jurisdiction which prohibits the consummation of any of the transactions contemplated by this Agreement.</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Delivery of Purchase Price</w:t>
      </w:r>
      <w:r>
        <w:rPr>
          <w:rFonts w:ascii="Times New Roman;Times;Serif" w:hAnsi="Times New Roman;Times;Serif"/>
          <w:b w:val="false"/>
          <w:i w:val="false"/>
          <w:caps w:val="false"/>
          <w:smallCaps w:val="false"/>
          <w:sz w:val="20"/>
        </w:rPr>
        <w:t>. The Purchase Price for the Shares shall have been delivered to the Company.</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Delivery of Transaction Documents</w:t>
      </w:r>
      <w:r>
        <w:rPr>
          <w:rFonts w:ascii="Times New Roman;Times;Serif" w:hAnsi="Times New Roman;Times;Serif"/>
          <w:b w:val="false"/>
          <w:i w:val="false"/>
          <w:caps w:val="false"/>
          <w:smallCaps w:val="false"/>
          <w:sz w:val="20"/>
        </w:rPr>
        <w:t>. The Transaction Documents to which the Purchaser isa party shall have been duly executed and delivered by the Purchaser to the Company.</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Conditions Precedent to the Obligation of the Purchaser to Purchase the Shares</w:t>
      </w:r>
      <w:r>
        <w:rPr>
          <w:rFonts w:ascii="Times New Roman;Times;Serif" w:hAnsi="Times New Roman;Times;Serif"/>
          <w:b w:val="false"/>
          <w:i w:val="false"/>
          <w:caps w:val="false"/>
          <w:smallCaps w:val="false"/>
          <w:sz w:val="20"/>
        </w:rPr>
        <w:t>. The obligation hereunder of the Purchaser to purchase the Shares is subject to the satisfaction or waiver, at or before the Closing, of each of the conditions set forth below. These conditions are for the Purchaser’s sole benefit and may be waived by the Purchaser at any time in its sole discretion.</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Accuracy of the Company’s Representations and Warranties</w:t>
      </w:r>
      <w:r>
        <w:rPr>
          <w:rFonts w:ascii="Times New Roman;Times;Serif" w:hAnsi="Times New Roman;Times;Serif"/>
          <w:b w:val="false"/>
          <w:i w:val="false"/>
          <w:caps w:val="false"/>
          <w:smallCaps w:val="false"/>
          <w:sz w:val="20"/>
        </w:rPr>
        <w:t>. Each of the representations and warranties of the Company in this Agreement and the other Transaction Documents shall be true and correct in all respects as of the date when made and as of the Closing Date as though made at that time, except for representations and warranties that are expressly made as of a particular date, which shall be true and correct in all respects as of such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 by the Company</w:t>
      </w:r>
      <w:r>
        <w:rPr>
          <w:rFonts w:ascii="Times New Roman;Times;Serif" w:hAnsi="Times New Roman;Times;Serif"/>
          <w:b w:val="false"/>
          <w:i w:val="false"/>
          <w:caps w:val="false"/>
          <w:smallCaps w:val="false"/>
          <w:sz w:val="20"/>
        </w:rPr>
        <w:t>. The Company shall have performed, satisfied and complied in all respects with all covenants, agreements and conditions required by this Agreement to be performed, satisfied or complied with by the Company at or prior to the Closing.</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Injunction</w:t>
      </w:r>
      <w:r>
        <w:rPr>
          <w:rFonts w:ascii="Times New Roman;Times;Serif" w:hAnsi="Times New Roman;Times;Serif"/>
          <w:b w:val="false"/>
          <w:i w:val="false"/>
          <w:caps w:val="false"/>
          <w:smallCaps w:val="false"/>
          <w:sz w:val="20"/>
        </w:rPr>
        <w:t>. No statute, rule, regulation, executive order, decree, ruling or injunction shall have been enacted, entered, promulgated or endorsed by any court or governmental authority of competent jurisdiction which prohibits the consummation of any of the transactions contemplated by this Agreement.</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Proceedings or Litigation</w:t>
      </w:r>
      <w:r>
        <w:rPr>
          <w:rFonts w:ascii="Times New Roman;Times;Serif" w:hAnsi="Times New Roman;Times;Serif"/>
          <w:b w:val="false"/>
          <w:i w:val="false"/>
          <w:caps w:val="false"/>
          <w:smallCaps w:val="false"/>
          <w:sz w:val="20"/>
        </w:rPr>
        <w:t>. No action, suit or proceeding before any arbitrator or any governmental authority shall have been commenced, and no investigation by any governmental authority shall have been threatened, against the Company or any subsidiary, or any of the officers, directors or affiliates of the Company or any Subsidiary seeking to restrain, prevent or change the transactions contemplated by this Agreement, or seeking damages in connection with such transactions.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Stock Certificate</w:t>
      </w:r>
      <w:r>
        <w:rPr>
          <w:rFonts w:ascii="Times New Roman;Times;Serif" w:hAnsi="Times New Roman;Times;Serif"/>
          <w:b w:val="false"/>
          <w:i w:val="false"/>
          <w:caps w:val="false"/>
          <w:smallCaps w:val="false"/>
          <w:sz w:val="20"/>
        </w:rPr>
        <w:t>. The Company shall have executed and delivered to the Purchaser a stock certificate for the Shares.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Resolutions</w:t>
      </w:r>
      <w:r>
        <w:rPr>
          <w:rFonts w:ascii="Times New Roman;Times;Serif" w:hAnsi="Times New Roman;Times;Serif"/>
          <w:b w:val="false"/>
          <w:i w:val="false"/>
          <w:caps w:val="false"/>
          <w:smallCaps w:val="false"/>
          <w:sz w:val="20"/>
        </w:rPr>
        <w:t>. The Board of Directors of the Company shall have adopted resolutions authorizing the transactions contemplated by this Agreement.</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No Material Adverse Effect shall have occurred at or before the Closing Date.</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Delivery of the Transaction Documents</w:t>
      </w:r>
      <w:r>
        <w:rPr>
          <w:rFonts w:ascii="Times New Roman;Times;Serif" w:hAnsi="Times New Roman;Times;Serif"/>
          <w:b w:val="false"/>
          <w:i w:val="false"/>
          <w:caps w:val="false"/>
          <w:smallCaps w:val="false"/>
          <w:sz w:val="20"/>
        </w:rPr>
        <w:t>. The Transaction Documents to which the Companyisa party shall have been duly executed and delivered by the Company to the Purchaser.</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Certificate Legend</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Legend</w:t>
      </w:r>
      <w:r>
        <w:rPr>
          <w:rFonts w:ascii="Times New Roman;Times;Serif" w:hAnsi="Times New Roman;Times;Serif"/>
          <w:b w:val="false"/>
          <w:i w:val="false"/>
          <w:caps w:val="false"/>
          <w:smallCaps w:val="false"/>
          <w:sz w:val="20"/>
        </w:rPr>
        <w:t>. Each certificate representing the Shares shall be stamped or otherwise imprinted with a legend substantially in the following form:</w:t>
      </w:r>
    </w:p>
    <w:p>
      <w:pPr>
        <w:pStyle w:val="TextBody"/>
        <w:bidi w:val="0"/>
        <w:spacing w:before="240" w:after="240"/>
        <w:ind w:left="240" w:right="24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BY THIS CERTIFICATE HAVE NOT BEEN REGISTERED UNDER THE SECURITIES ACT OF 1933, AS AMENDED (THE “SECURITIES ACT”), OR ANY STATE SECURITIES LAWS AND NEITHER SUCH SECURITIES NOR ANY INTEREST THEREIN MAY BE OFFERED, SOLD, PLEDGED, ASSIGNED OR OTHERWISE TRANSFERRED EXCEPT (1) IN ACCORDANCE WITH THE PROVISIONS OF REGULATION S PROMULGATED UNDER THE SECURITIES ACT, AND BASED ON AN OPINION OF COUNSEL, WHICH COUNSEL AND OPINION ARE REASONABLY SATISFACTORY TO THE COMPANY, THAT THE PROVISIONS OF REGULATION S HAVE BEEN SATISFIED, (2) PURSUANT TO AN EFFECTIVE REGISTRATION STATEMENT UNDER THE SECURITIES ACT AND APPLICABLE STATE SECURITIES LAWS OR (3) PURSUANT TO AN AVAILABLE EXEMPTION FROM THE REGISTRATION REQUIREMENTS OF THE SECURITIES ACT AND APPLICABLE STATE SECURITIES LAWS, IN WHICH CASE THE HOLDER MUST, PRIOR TO SUCH TRANSFER, FURNISH TO THE COMPANY AN OPINION OF COUNSEL, WHICH COUNSEL AND OPINION ARE REASONABLY SATISFACTORY TO THE COMPANY, THAT SUCH SECURITIES MAY BE OFFERED, SOLD, PLEDGED, ASSIGNED OR OTHERWISE TRANSFERRED IN THE MANNER CONTEMPLATED PURSUANT TO AN AVAILABLE EXEMPTION FROM THE REGISTRATION REQUIREMENTS OF THE SECURITIES ACT AND APPLICABLE STATE SECURITIES LAWS. HEDGING TRANSACTIONS INVOLVING THE SECURITIES REPRESENTED BY THIS CERTIFICATE MAY NOT BE CONDUCTED UNLESS IN COMPLIANCE WITH THE SECURITIES ACT.”</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240" w:after="240"/>
        <w:ind w:left="240" w:right="24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reissue certificates representing any of the Shares, without the legend set forth above if at such time, prior to making any transfer of any such securities, such holder thereof shall give written notice to the Company describing the manner and terms of such sale and removal as the Company may reasonably request. Such proposed transfer and removal will not be effected until: (a) either (i) the Company has received an opinion of counselreasonably satisfactory to the Company, to the effect that the registration of the Shares under the Securities Act is not required in connection with such proposed transfer, (ii) a registration statement under the Securities Act covering such proposed disposition has been filed by the Company with the Commission and has become effective under the Securities Act, (iii) the Company has received other evidence reasonably satisfactory to the Company that such registration and qualification under the Securities Act and state securities laws are not required, or (iv) the holder provides the Company with reasonable assurances that such security can be sold pursuant to Rule 144 under the Securities Act; and (b) either (i) the Company has received an opinion of counsel reasonably satisfactory to the Company, to the effect that registration or qualification under the securities or “blue sky” laws of any state is not required in connection with such proposed disposition, or (ii) compliance with applicable state securities or “blue sky” laws has been effected or a valid exemption exists with respect thereto. The Company will respond to any such notice from a holder within five (5) business days. In the case of any proposed transfer under this Section 5.1, the Company will use reasonable efforts to comply with any such applicable state securities or “blue sky” laws, but shall in no event be required, (x) to qualify to do business in any state where it is not then qualified, (y) to take any action that would subject it to tax or to the general service of process in any state where it is not then subject, or (z) to comply with state securities or “blue sky” laws of any state for which registration by coordination is unavailable to the Company. The restrictions on transfer contained in this Section 5.1 shall be in addition to, and not by way of limitation of, any other restrictions on transfer contained in any other section of this Agreement.</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General Indemnity</w:t>
      </w:r>
      <w:r>
        <w:rPr>
          <w:rFonts w:ascii="Times New Roman;Times;Serif" w:hAnsi="Times New Roman;Times;Serif"/>
          <w:b w:val="false"/>
          <w:i w:val="false"/>
          <w:caps w:val="false"/>
          <w:smallCaps w:val="false"/>
          <w:sz w:val="20"/>
        </w:rPr>
        <w:t>. The Company agrees to indemnify and hold harmless the Purchaser (and it directors, officers, managers, partners, members, shareholders, affiliates, agents, successors and assigns) from and against any and all losses, liabilities, deficiencies, costs, damages and expenses (including, without limitation, reasonable attorneys’ fees, charges and disbursements) incurred by the Purchaser as a result of any inaccuracy in or breach of the representations, warranties or covenants made by the Company herein. The Purchaser agrees to indemnify and hold harmless the Company and its directors, officers, affiliates, agents, successors and assigns from and against any and all losses, liabilities, deficiencies, costs, damages and expenses (including, without limitation, reasonable attorneys’ fees, charges and disbursements) incurred by the Company as a result of any inaccuracy in or breach of the representations, warranties or covenants made by the Purchaser herein.</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Indemnification Procedure</w:t>
      </w:r>
      <w:r>
        <w:rPr>
          <w:rFonts w:ascii="Times New Roman;Times;Serif" w:hAnsi="Times New Roman;Times;Serif"/>
          <w:b w:val="false"/>
          <w:i w:val="false"/>
          <w:caps w:val="false"/>
          <w:smallCaps w:val="false"/>
          <w:sz w:val="20"/>
        </w:rPr>
        <w:t>. Any party entitled to indemnification under this Article VI (an “</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xml:space="preserve">”) will give written notice to the indemnifying party of any matters giving rise to a claim for indemnification;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of any party entitled to indemnification hereunder to give notice as provided herein shall not relieve the indemnifying party of its obligations under this Article VI except to the extent that the indemnifying party is actually prejudiced by such failure to give notice. In case any action, proceeding or claim is brought against an Indemnified Party in respect of which indemnification is sought hereunder, the indemnifying party shall be entitled to participate in and, unless in the reasonable judgment of the Indemnified Party a conflict of interest between it and the indemnifying party may exist with respect of such action, proceeding or claim, to assume the defense thereof with counsel reasonably satisfactory to the Indemnified Party. In the event that the indemnifying party advises an Indemnified Party that it will contest such a claim for indemnification hereunder, or fails, within thirty (30) days of receipt of any indemnification notice to notify, in writing, such person of its election to defend, settle or compromise, at its sole cost and expense, any action, proceeding or claim (or discontinues its defense at any time after it commences such defense), then the Indemnified Party may, at its option, defend, settle or otherwise compromise or pay such action or claim. In any event, unless and until the indemnifying party elects in writing to assume and does so assume the defense of any such claim, proceeding or action, the Indemnified Party’s costs and expenses arising out of the defense, settlement or compromise of any such action, claim or proceeding shall be losses subject to indemnification hereunder. The Indemnified Party shall cooperate fully with the indemnifying party in connection with any negotiation or defense of any such action or claim by the indemnifying party and shall furnish to the indemnifying party all information reasonably available to the Indemnified Party which relates to such action or claim. The indemnifying party shall keep the Indemnified Party fully apprised at all times as to the status of the defense or any settlement negotiations with respect thereto. If the indemnifying party elects to defend any such action or claim, then the Indemnified Party shall be entitled to participate in such defense with counsel of its choice at its sole cost and expense. The indemnifying party shall not be liable for any settlement of any action, claim or proceeding effected without its prior written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indemnifying party shall be liable for any settlement if the indemnifying party is advised of the settlement but fails to respond to the settlement within thirty (30) days of receipt of such notification. Notwithstanding anything in this Article VI to the contrary, the indemnifying party shall not, without the Indemnified Party’s prior written consent, settle or compromise any claim or consent to entry of any judgment in respect thereof which imposes any future obligation on the Indemnified Party or which does not include, as an unconditional term thereof, the giving by the claimant or the plaintiff to the Indemnified Party of a release from all liability in respect of such claim. The indemnification required by this Article VI shall be made by periodic payments of the amount thereof during the course of investigation or defense, as and when bills are received or expense, loss, damage or liability is incurred, so long as the Indemnified Party irrevocably agrees to refund such moneys if it is ultimately determined by a court of competent jurisdiction that such party was not entitled to indemnification. The indemnity agreements contained herein shall be in addition to (a) any cause of action or similar rights of the Indemnified Party against the indemnifying party or others, and (b) any liabilities the indemnifying party may be subject to pursuant to the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Each of the parties to this Agreement shall pay its own fees and expenses of each party’s advisors, counsel, accountants and other experts, if any, and all other expenses, incurred by each party incident to the negotiation, preparation, execution, delivery and performance of this Agreement and of all documents referred to in it.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Specific Enforcement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Purchaser acknowledge and agree that irreparable damage would occur in the event that any of the provisions of this Agreement or the other Transaction Documents were not performed in accordance with their specific terms or were otherwise breached. It is accordingly agreed that the parties shall be entitled to an injunction or injunctions to prevent or cure breaches of the provisions of this Agreement or the other Transaction Documents and to enforce specifically the terms and provisions hereof or thereof, this being in addition to any other remedy to which any of them may be entitled by law or equity.</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Company and the Purchaser (i) hereby irrevocably submits to the jurisdiction of the United States District Court sitting in the Southern District of New York and the courts of the State of New York located in New York county for the purposes of any suit, action or proceeding arising out of or relating to this Agreement or any of the other Transaction Documents or the transactions contemplated hereby or thereby and (ii) hereby waives, and agrees not to assert in any such suit, action or proceeding, any claim that it is not personally subject to the jurisdiction of such court, that the suit, action or proceeding is brought in an inconvenient forum or that the venue of the suit, action or proceeding is improper. Each of the Company and the Purchaser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in this Section 7.2 shall affect or limit any right to serve process in any other manner permitted by law.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The Company hereby appoints Loeb &amp; Loeb LLP, with offices at 345 Park Avenue, New York, NY 10153 as its agent for service of process in New York. Nothing contained herein shall be deemed to limit in any way any right to serve process in any manner permitted by law.</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Entire Agreement; Amendment</w:t>
      </w:r>
      <w:r>
        <w:rPr>
          <w:rFonts w:ascii="Times New Roman;Times;Serif" w:hAnsi="Times New Roman;Times;Serif"/>
          <w:b w:val="false"/>
          <w:i w:val="false"/>
          <w:caps w:val="false"/>
          <w:smallCaps w:val="false"/>
          <w:sz w:val="20"/>
        </w:rPr>
        <w:t>. This Agreement and the other Transaction Documents contains the entire understanding and agreement of the parties with respect to the matters covered hereby and, except as specifically set forth herein or in the Transaction Documents, neither the Company nor the Purchaser makes any representations, warranty, covenant or undertaking with respect to such matters and they supersede all prior understandings and agreements with respect to said subject matter, all of which are merged herein. No provision of this Agreement nor any of the Transaction Documents may be waived or amended other than by a written instrument signed by the Company and the Purchaser, and no provision hereof may be waived other than by a written instrument signed by the party against whom enforcement of any such waiver is sought.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consents, requests, instructions and other communications to be given or delivered or permitted under or by reason of the provisions of this Agreement or in connection with the transactions contemplated hereby shall be in writing and shall be deemed to be delivered and received by the intended recipient as follows: (i) if personally delivered, on the business day of such delivery (as evidenced by the receipt of the personal delivery service), (ii) if mailed certified or registered mail return receipt requested, two (2) business days after being mailed, (iii) if delivered by overnight courier (with all charges having been prepaid), on the business day of such delivery (as evidenced by the receipt of the overnight courier service of recognized standing), or (iv) if delivered by facsimile transmission, on the business day of such delivery if sent by 6:00 p.m. in the time zone of the recipient, or if sent after that time, on the next succeeding business day (as evidenced by the printed confirmation of delivery generated by the sending party’s telecopier machine). If any notice, demand, consent, request, instruction or other communication cannot be delivered because of a changed address of which no notice was given (in accordance with this Section 4), or the refusal to accept same, the notice, demand, consent, request, instruction or other communication shall be deemed received on the second business day the notice is sent (as evidenced by a sworn affidavit of the sender). All such notices, demands, consents, requests, instructions and other communications will be sent to the following addresses or facsimile numbers as applicable:</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ZW Data Action Technologies Inc.</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1811, Xinghuo Keji Plaza, No. 2 Fufeng Road,</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Fengtai District, Beijing, PRC 100070</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Mr. Handong Cheng</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No.: +86-10-51600828</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No.: +86-10-51600328</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Loeb &amp; Loeb LLP</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 Park Avenue</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10154</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Mitchell S. Nussbaum, Esq.</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No.: (212) 407-4000</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No.: (212) 407-4990</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Purchaser:</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Golden Harvest Trust Limited (in its capacity as trustee of InfiniteReach Investment Group Limited Trust)</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Flat G, 23/F, COS CTR, 56 Tsun Yip Street,</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Kwun Tong, Kowloon</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Alex Li</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No.: 97764399</w:t>
      </w:r>
    </w:p>
    <w:p>
      <w:pPr>
        <w:pStyle w:val="TextBody"/>
        <w:bidi w:val="0"/>
        <w:spacing w:before="240" w:after="240"/>
        <w:ind w:left="22" w:right="24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party hereto may from time to time change its address for notices by giving at least ten (10) days written notice of such changed address to the other party hereto.</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Waivers</w:t>
      </w:r>
      <w:r>
        <w:rPr>
          <w:rFonts w:ascii="Times New Roman;Times;Serif" w:hAnsi="Times New Roman;Times;Serif"/>
          <w:b w:val="false"/>
          <w:i w:val="false"/>
          <w:caps w:val="false"/>
          <w:smallCaps w:val="false"/>
          <w:sz w:val="20"/>
        </w:rPr>
        <w:t>. No waiver by any party of any default with respect to any provision, condition or requirement of this Agreement shall be deemed to be a continuing waiver in the future or a waiver of any other provisions, condition or requirement hereof, nor shall any delay or omission of any party to exercise any right hereunder in any manner impair the exercise of any such right accruing to it thereafter.</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section headings contained in this Agreement (including, without limitation, section headings and headings in the exhibits and schedules) are inserted for reference purposes only and shall not affect in any way the meaning, construction or interpretation of this Agreement. Any reference to the masculine, feminine, or neuter gender shall be a reference to such other gender as is appropriate. References to the singular shall include the plural and vice versa.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may not be assigned by a party hereto without the prior written consent of the Company or the Purchaser,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subject to federal and state securities laws and as otherwise provided in the Transaction Documents, the Purchaser may assign its rights and delegate its duties hereunder in whole or in part (i) to a third party acquiring all or substantially all of its Shares in a private transaction or (ii) to an affiliate, in each case, without the prior written consent of the Company, after notice duly given by the Purchaser to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such assignment or obligation shall affect the obligations of the Purchaser hereunder and that such assignee agrees in writing to be bound, with respect to the transferred securities, by the provisions hereof that apply to the Purchaser. The provisions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7.8 </w:t>
      </w:r>
      <w:r>
        <w:rPr>
          <w:rFonts w:ascii="Times New Roman;Times;Serif" w:hAnsi="Times New Roman;Times;Serif"/>
          <w:b w:val="false"/>
          <w:i w:val="false"/>
          <w:caps w:val="false"/>
          <w:smallCaps w:val="false"/>
          <w:sz w:val="20"/>
          <w:u w:val="single"/>
        </w:rPr>
        <w:t>No Third Party Beneficiaries</w:t>
      </w:r>
      <w:r>
        <w:rPr>
          <w:rFonts w:ascii="Times New Roman;Times;Serif" w:hAnsi="Times New Roman;Times;Serif"/>
          <w:b w:val="false"/>
          <w:i w:val="false"/>
          <w:caps w:val="false"/>
          <w:smallCaps w:val="false"/>
          <w:sz w:val="20"/>
        </w:rPr>
        <w:t>. This Agreement is intended for the benefit of the parties hereto and their respective permitted successors and assigns and is not for the benefit of, nor may any provision hereof be enforced by, any other person.</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internal laws of the State of New York, without giving effect to any of the conflicts of law principles which would result in the application of the substantive law of another jurisdiction. This Agreement shall not be interpreted or construed with any presumption against the party causing this Agreement to be drafted.</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of the Company and the Purchaser shall survive the execution and delivery hereof and the Closing hereunder for a period of three (3) years following the Closing Date.</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each of which when so executed shall be deemed to be an original and, all of which taken together shall constitute one and the same Agreement and shall become effective when counterparts have been signed by each party and delivered to the other parties hereto, it being understood that all parties need not sign the same counterpart. In the event that any signature is delivered by facsimile transmission, such signature shall create a valid binding obligation of the party executing (or on whose behalf such signature is executed) the same with the same force and effect as if such facsimile signature were the original thereof.</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The provisions of this Agreement and the Transaction Documents are severable and, in the event that any court of competent jurisdiction shall determine that any one or more of the provisions or part of the provisions contained in this Agreement or the Transaction Documents shall, for any reason, be held to be invalid, illegal or unenforceable in any respect, such invalidity, illegality or unenforceability shall not affect any other provision or part of a provision of this Agreement or the Transaction Documents and such provision shall be reformed and construed as if such invalid or illegal or unenforceable provision, or part of such provision, had never been contained herein, so that such provisions would be valid, legal and enforceable to the maximum extent possible.</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7.13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From and after the date of this Agreement, upon the request of the Purchaser or the Company, each of the Company and the Purchaser shall execute and deliver such instrument, documents and other writings as may be reasonably necessary or desirable to confirm and carry out and to effectuate fully the intent and purposes of this Agreement.</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7.15 </w:t>
      </w:r>
      <w:r>
        <w:rPr>
          <w:rFonts w:ascii="Times New Roman;Times;Serif" w:hAnsi="Times New Roman;Times;Serif"/>
          <w:b w:val="false"/>
          <w:i w:val="false"/>
          <w:caps w:val="false"/>
          <w:smallCaps w:val="false"/>
          <w:sz w:val="20"/>
          <w:u w:val="single"/>
        </w:rPr>
        <w:t>Currency</w:t>
      </w:r>
      <w:r>
        <w:rPr>
          <w:rFonts w:ascii="Times New Roman;Times;Serif" w:hAnsi="Times New Roman;Times;Serif"/>
          <w:b w:val="false"/>
          <w:i w:val="false"/>
          <w:caps w:val="false"/>
          <w:smallCaps w:val="false"/>
          <w:sz w:val="20"/>
        </w:rPr>
        <w:t>. Unless otherwise indicated, all dollar amounts referred to in this Agreement are in United States Dollars. All amounts owing under this Agreement or any Transaction Document shall be paid in US dollars. All amounts denominated in other currencies shall be converted in the US dollar equivalent amount in accordance with the Exchange Rate on the date of calculation. “Exchange Rate” means, in relation to any amount of currency to be converted into US dollars pursuant to this Agreement, the US dollar exchange rate as published in The Wall Street Journal on the relevant date of calculation.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7.16 Force Majeure. If the transactions under this Agreement cannot be completed due to any political, military, government intervention or any other force majeure causes which are out of the Company’s or the Purchaser’s control, this Agreement shall be terminated automatically. Upon a termination in accordance with this Section 7.16, the Company and the Purchaser shall not have any further obligation or liability (including as arising from such termination) to the other.</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7.17 Termination by Mutual Agreement. This Agreement may be terminated prior to the Closing by written agreement of the Company and the Purchaser. Upon a termination in accordance with this Section 7.17, the Company and the Purchaser shall not have any further obligation or liability (including as arising from such termination) to the other.</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240" w:after="240"/>
        <w:ind w:left="240" w:right="240" w:hanging="0"/>
        <w:jc w:val="center"/>
        <w:rPr>
          <w:caps w:val="false"/>
          <w:smallCaps w:val="false"/>
        </w:rPr>
      </w:pPr>
      <w:r>
        <w:rPr>
          <w:caps w:val="false"/>
          <w:smallCaps w:val="false"/>
        </w:rPr>
        <w:t> </w:t>
      </w:r>
    </w:p>
    <w:p>
      <w:pPr>
        <w:pStyle w:val="TextBody"/>
        <w:bidi w:val="0"/>
        <w:spacing w:before="240" w:after="240"/>
        <w:ind w:left="240" w:right="240" w:hanging="0"/>
        <w:jc w:val="center"/>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by their respective authorized officer as of the date first above written.</w:t>
      </w:r>
    </w:p>
    <w:p>
      <w:pPr>
        <w:pStyle w:val="TextBody"/>
        <w:bidi w:val="0"/>
        <w:ind w:left="0" w:right="0" w:firstLine="72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75"/>
        <w:gridCol w:w="320"/>
        <w:gridCol w:w="35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ZW DATA ACTION TECHNOLOGIES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5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9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Handong Cheng</w:t>
            </w:r>
          </w:p>
        </w:tc>
      </w:tr>
      <w:tr>
        <w:trPr/>
        <w:tc>
          <w:tcPr>
            <w:tcW w:w="39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359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Handong Cheng</w:t>
            </w:r>
          </w:p>
          <w:p>
            <w:pPr>
              <w:pStyle w:val="TableContents"/>
              <w:bidi w:val="0"/>
              <w:spacing w:before="0" w:after="283"/>
              <w:ind w:left="600" w:right="0" w:hanging="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COUNTERPART SIGNATURE PAGE</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its execution and delivery of this signature page, the undersigned Purchaser hereby agrees to be bound by the terms and conditions of the Securities Purchase Agreement, dated as of January 19, 2025.</w:t>
      </w:r>
    </w:p>
    <w:p>
      <w:pPr>
        <w:pStyle w:val="TextBody"/>
        <w:bidi w:val="0"/>
        <w:jc w:val="center"/>
        <w:rPr>
          <w:caps w:val="false"/>
          <w:smallCaps w:val="false"/>
        </w:rPr>
      </w:pPr>
      <w:r>
        <w:rPr>
          <w:caps w:val="false"/>
          <w:smallCaps w:val="false"/>
        </w:rPr>
        <w:t> </w:t>
      </w:r>
    </w:p>
    <w:tbl>
      <w:tblPr>
        <w:tblW w:w="5374" w:type="dxa"/>
        <w:jc w:val="left"/>
        <w:tblInd w:w="0" w:type="dxa"/>
        <w:tblLayout w:type="fixed"/>
        <w:tblCellMar>
          <w:top w:w="0" w:type="dxa"/>
          <w:left w:w="0" w:type="dxa"/>
          <w:bottom w:w="0" w:type="dxa"/>
          <w:right w:w="0" w:type="dxa"/>
        </w:tblCellMar>
      </w:tblPr>
      <w:tblGrid>
        <w:gridCol w:w="75"/>
        <w:gridCol w:w="833"/>
        <w:gridCol w:w="4466"/>
      </w:tblGrid>
      <w:tr>
        <w:trPr/>
        <w:tc>
          <w:tcPr>
            <w:tcW w:w="75" w:type="dxa"/>
            <w:tcBorders/>
            <w:vAlign w:val="center"/>
          </w:tcPr>
          <w:p>
            <w:pPr>
              <w:pStyle w:val="TableContents"/>
              <w:bidi w:val="0"/>
              <w:spacing w:before="0" w:after="283"/>
              <w:jc w:val="left"/>
              <w:rPr/>
            </w:pPr>
            <w:r>
              <w:rPr/>
              <w:t> </w:t>
            </w:r>
          </w:p>
        </w:tc>
        <w:tc>
          <w:tcPr>
            <w:tcW w:w="5299" w:type="dxa"/>
            <w:gridSpan w:val="2"/>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GOLDEN HARVEST TRUST LIMITED </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its capacity as trustee of</w:t>
            </w:r>
          </w:p>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INFINITEREACH INVESTMENT GROUP LIMITED TRUST</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2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sz w:val="20"/>
              </w:rPr>
            </w:pPr>
            <w:r>
              <w:rPr>
                <w:sz w:val="20"/>
              </w:rPr>
              <w:t>By:</w:t>
            </w:r>
          </w:p>
        </w:tc>
        <w:tc>
          <w:tcPr>
            <w:tcW w:w="446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Lo Ming Chi</w:t>
            </w:r>
          </w:p>
        </w:tc>
      </w:tr>
      <w:tr>
        <w:trPr/>
        <w:tc>
          <w:tcPr>
            <w:tcW w:w="75"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pPr>
            <w:r>
              <w:rPr/>
              <w:t> </w:t>
            </w:r>
          </w:p>
        </w:tc>
        <w:tc>
          <w:tcPr>
            <w:tcW w:w="4466" w:type="dxa"/>
            <w:tcBorders/>
            <w:vAlign w:val="center"/>
          </w:tcPr>
          <w:p>
            <w:pPr>
              <w:pStyle w:val="TableContents"/>
              <w:bidi w:val="0"/>
              <w:spacing w:before="0" w:after="283"/>
              <w:jc w:val="both"/>
              <w:rPr>
                <w:sz w:val="20"/>
              </w:rPr>
            </w:pPr>
            <w:r>
              <w:rPr>
                <w:sz w:val="20"/>
              </w:rPr>
              <w:t>Name:  Lo Ming Chi</w:t>
            </w:r>
          </w:p>
        </w:tc>
      </w:tr>
      <w:tr>
        <w:trPr/>
        <w:tc>
          <w:tcPr>
            <w:tcW w:w="75"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pPr>
            <w:r>
              <w:rPr/>
              <w:t> </w:t>
            </w:r>
          </w:p>
        </w:tc>
        <w:tc>
          <w:tcPr>
            <w:tcW w:w="4466" w:type="dxa"/>
            <w:tcBorders/>
            <w:vAlign w:val="center"/>
          </w:tcPr>
          <w:p>
            <w:pPr>
              <w:pStyle w:val="TableContents"/>
              <w:bidi w:val="0"/>
              <w:spacing w:before="0" w:after="283"/>
              <w:jc w:val="both"/>
              <w:rPr>
                <w:sz w:val="20"/>
              </w:rPr>
            </w:pPr>
            <w:r>
              <w:rPr>
                <w:sz w:val="20"/>
              </w:rPr>
              <w:t>Title:  Director</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EXACT NAME IN WHICH YOU WANT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TO BE REGISTERED</w:t>
      </w:r>
    </w:p>
    <w:p>
      <w:pPr>
        <w:pStyle w:val="TextBody"/>
        <w:bidi w:val="0"/>
        <w:jc w:val="center"/>
        <w:rPr>
          <w:caps w:val="false"/>
          <w:smallCaps w:val="false"/>
        </w:rPr>
      </w:pPr>
      <w:r>
        <w:rPr>
          <w:caps w:val="false"/>
          <w:smallCaps w:val="false"/>
        </w:rPr>
        <w:t> </w:t>
      </w:r>
    </w:p>
    <w:tbl>
      <w:tblPr>
        <w:tblW w:w="1220" w:type="dxa"/>
        <w:jc w:val="left"/>
        <w:tblInd w:w="0" w:type="dxa"/>
        <w:tblLayout w:type="fixed"/>
        <w:tblCellMar>
          <w:top w:w="0" w:type="dxa"/>
          <w:left w:w="0" w:type="dxa"/>
          <w:bottom w:w="0" w:type="dxa"/>
          <w:right w:w="0" w:type="dxa"/>
        </w:tblCellMar>
      </w:tblPr>
      <w:tblGrid>
        <w:gridCol w:w="1145"/>
        <w:gridCol w:w="75"/>
      </w:tblGrid>
      <w:tr>
        <w:trPr/>
        <w:tc>
          <w:tcPr>
            <w:tcW w:w="1145" w:type="dxa"/>
            <w:tcBorders/>
            <w:vAlign w:val="center"/>
          </w:tcPr>
          <w:p>
            <w:pPr>
              <w:pStyle w:val="TableContents"/>
              <w:bidi w:val="0"/>
              <w:spacing w:before="0" w:after="283"/>
              <w:jc w:val="left"/>
              <w:rPr>
                <w:sz w:val="20"/>
              </w:rPr>
            </w:pPr>
            <w:r>
              <w:rPr>
                <w:sz w:val="20"/>
              </w:rPr>
              <w:t>Attn:</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20"/>
              </w:rPr>
            </w:pPr>
            <w:r>
              <w:rPr>
                <w:sz w:val="20"/>
              </w:rPr>
              <w:t>Address: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20"/>
              </w:rPr>
            </w:pPr>
            <w:r>
              <w:rPr>
                <w:sz w:val="20"/>
              </w:rPr>
              <w:t>Phone No.</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20"/>
              </w:rPr>
            </w:pPr>
            <w:r>
              <w:rPr>
                <w:sz w:val="20"/>
              </w:rPr>
              <w:t>Facsimile No.</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TO THE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LOCK-UP AGREEMENT</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jc w:val="center"/>
        <w:rPr>
          <w:caps w:val="false"/>
          <w:smallCaps w:val="false"/>
        </w:rPr>
      </w:pPr>
      <w:r>
        <w:rPr>
          <w:caps w:val="false"/>
          <w:smallCaps w:val="false"/>
        </w:rPr>
        <w:t> </w:t>
      </w:r>
    </w:p>
    <w:p>
      <w:pPr>
        <w:pStyle w:val="TextBody"/>
        <w:shd w:fill="FFFFFF" w:val="clear"/>
        <w:bidi w:val="0"/>
        <w:spacing w:before="0" w:after="0"/>
        <w:ind w:left="0" w:right="0" w:hanging="0"/>
        <w:jc w:val="right"/>
        <w:rPr>
          <w:b/>
          <w:sz w:val="20"/>
        </w:rPr>
      </w:pPr>
      <w:bookmarkStart w:id="26" w:name="exh_102.htm"/>
      <w:bookmarkStart w:id="27" w:name="ksexh_102"/>
      <w:bookmarkEnd w:id="26"/>
      <w:bookmarkEnd w:id="27"/>
      <w:r>
        <w:rPr>
          <w:b/>
          <w:sz w:val="20"/>
        </w:rPr>
        <w:t>Exhibit 10.2</w:t>
      </w:r>
      <w:r>
        <w:br w:type="page"/>
      </w:r>
    </w:p>
    <w:p>
      <w:pPr>
        <w:pStyle w:val="TextBody"/>
        <w:shd w:fill="FFFFFF" w:val="clear"/>
        <w:bidi w:val="0"/>
        <w:spacing w:before="0" w:after="0"/>
        <w:ind w:left="0" w:right="0" w:hanging="0"/>
        <w:jc w:val="center"/>
        <w:rPr/>
      </w:pPr>
      <w:r>
        <w:rPr/>
        <w:t> </w:t>
      </w:r>
    </w:p>
    <w:p>
      <w:pPr>
        <w:pStyle w:val="TextBody"/>
        <w:shd w:fill="FFFFFF" w:val="clear"/>
        <w:bidi w:val="0"/>
        <w:spacing w:before="0" w:after="0"/>
        <w:ind w:left="0" w:right="0" w:hanging="0"/>
        <w:jc w:val="center"/>
        <w:rPr>
          <w:b/>
          <w:sz w:val="20"/>
        </w:rPr>
      </w:pPr>
      <w:r>
        <w:rPr>
          <w:b/>
          <w:sz w:val="20"/>
        </w:rPr>
        <w:t>LOCK-UP AGREEMENT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This LOCK-UP AGREEMENT (this “</w:t>
      </w:r>
      <w:r>
        <w:rPr>
          <w:sz w:val="20"/>
          <w:u w:val="single"/>
        </w:rPr>
        <w:t>Agreement</w:t>
      </w:r>
      <w:r>
        <w:rPr>
          <w:sz w:val="20"/>
        </w:rPr>
        <w:t>”) is dated as of 8 May, 2025 by and among ZW Data Action Technologies Inc., a Nevada corporation (NASDAQ: CNET) (the “Company”), and Golden Harvest Trust Limited (Business Registration Number: 75554628) in its capacity as trustee of InfiniteReach Investment Group Limited Trust (the “</w:t>
      </w:r>
      <w:r>
        <w:rPr>
          <w:sz w:val="20"/>
          <w:u w:val="single"/>
        </w:rPr>
        <w:t>Purchaser</w:t>
      </w:r>
      <w:r>
        <w:rPr>
          <w:sz w:val="20"/>
        </w:rPr>
        <w:t>”).</w:t>
      </w:r>
    </w:p>
    <w:p>
      <w:pPr>
        <w:pStyle w:val="TextBody"/>
        <w:shd w:fill="FFFFFF" w:val="clear"/>
        <w:bidi w:val="0"/>
        <w:spacing w:before="0" w:after="0"/>
        <w:ind w:left="0" w:right="0" w:firstLine="720"/>
        <w:jc w:val="both"/>
        <w:rPr/>
      </w:pPr>
      <w:r>
        <w:rPr/>
        <w:t> </w:t>
      </w:r>
    </w:p>
    <w:p>
      <w:pPr>
        <w:pStyle w:val="TextBody"/>
        <w:shd w:fill="FFFFFF" w:val="clear"/>
        <w:bidi w:val="0"/>
        <w:spacing w:before="0" w:after="0"/>
        <w:ind w:left="0" w:right="0" w:firstLine="720"/>
        <w:jc w:val="both"/>
        <w:rPr>
          <w:sz w:val="20"/>
        </w:rPr>
      </w:pPr>
      <w:r>
        <w:rPr>
          <w:sz w:val="20"/>
        </w:rPr>
        <w:t>WHEREAS, the Company intends to consummate a private placement transaction with the Purchaser, whereby the Company will issue 119,100 shares of common stock (the “</w:t>
      </w:r>
      <w:r>
        <w:rPr>
          <w:sz w:val="20"/>
          <w:u w:val="single"/>
        </w:rPr>
        <w:t>Shares</w:t>
      </w:r>
      <w:r>
        <w:rPr>
          <w:sz w:val="20"/>
        </w:rPr>
        <w:t>”) to the Purchaser;</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WHEREAS, in connection with the transaction, the Company entered into a Securities Purchase Agreement, dated as of the date hereof (the “</w:t>
      </w:r>
      <w:r>
        <w:rPr>
          <w:sz w:val="20"/>
          <w:u w:val="single"/>
        </w:rPr>
        <w:t>Purchase Agreement</w:t>
      </w:r>
      <w:r>
        <w:rPr>
          <w:sz w:val="20"/>
        </w:rPr>
        <w:t>”), by and among the Company and the Purchaser, and certain other agreements, documents, instruments and certificates necessary to carry out the purposes thereof (collectively, the “</w:t>
      </w:r>
      <w:r>
        <w:rPr>
          <w:sz w:val="20"/>
          <w:u w:val="single"/>
        </w:rPr>
        <w:t>Transaction Documents</w:t>
      </w:r>
      <w:r>
        <w:rPr>
          <w:sz w:val="20"/>
        </w:rPr>
        <w:t>”); and</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WHEREAS, in order to induce the Company and the Purchaser to enter into the Purchase Agreement, the Purchaser has agreed not to sell any of the Shares, except in accordance with the terms and conditions set forth herein (the “</w:t>
      </w:r>
      <w:r>
        <w:rPr>
          <w:sz w:val="20"/>
          <w:u w:val="single"/>
        </w:rPr>
        <w:t>Lock-Up Shares</w:t>
      </w:r>
      <w:r>
        <w:rPr>
          <w:sz w:val="20"/>
        </w:rPr>
        <w:t>”). Capitalized terms used herein without definition shall have the meanings assigned to such terms in the Purchase Agreement.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NOW, THEREFORE, in consideration of the covenants and conditions hereinafter contained, the parties hereto agree as follows:</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1. </w:t>
      </w:r>
      <w:r>
        <w:rPr>
          <w:sz w:val="20"/>
          <w:u w:val="single"/>
        </w:rPr>
        <w:t>Restriction on Transfer; Term</w:t>
      </w:r>
      <w:r>
        <w:rPr>
          <w:sz w:val="20"/>
        </w:rPr>
        <w:t>. The Purchaser hereby agrees not to offer, sell, contract to sell, assign, transfer, hypothecate, gift, pledge or grant a security interest in, or otherwise dispose of, or enter into any transaction which is designed to, or might reasonably be expected to, result in the disposition of (whether by actual disposition or effective economic disposition due to cash settlement or otherwise, directly or indirectly) (each, a “</w:t>
      </w:r>
      <w:r>
        <w:rPr>
          <w:sz w:val="20"/>
          <w:u w:val="single"/>
        </w:rPr>
        <w:t>Transfer</w:t>
      </w:r>
      <w:r>
        <w:rPr>
          <w:sz w:val="20"/>
        </w:rPr>
        <w:t>”), any of the Lock-Up Shares until the six-month anniversary of the date of this Agreement (the “</w:t>
      </w:r>
      <w:r>
        <w:rPr>
          <w:sz w:val="20"/>
          <w:u w:val="single"/>
        </w:rPr>
        <w:t>Lock-Up Period</w:t>
      </w:r>
      <w:r>
        <w:rPr>
          <w:sz w:val="20"/>
        </w:rPr>
        <w: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2. </w:t>
      </w:r>
      <w:r>
        <w:rPr>
          <w:sz w:val="20"/>
          <w:u w:val="single"/>
        </w:rPr>
        <w:t>Ownership</w:t>
      </w:r>
      <w:r>
        <w:rPr>
          <w:sz w:val="20"/>
        </w:rPr>
        <w:t>. During the Lock-Up Period, the Purchaser shall retain all rights of ownership in the Lock-Up Shares, including, without limitation, voting rights and the right to receive any dividends that may be declared in respect thereof.</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3. </w:t>
      </w:r>
      <w:r>
        <w:rPr>
          <w:sz w:val="20"/>
          <w:u w:val="single"/>
        </w:rPr>
        <w:t>Company and Transfer Agent</w:t>
      </w:r>
      <w:r>
        <w:rPr>
          <w:sz w:val="20"/>
        </w:rPr>
        <w:t>. The Company is hereby authorized and required to disclose the existence of this Agreement to its transfer agent. The Company and its transfer agent are hereby authorized and required to decline to make any transfer of the Lock-Up Shares if such transfer would constitute a violation or breach of this Agreement.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4. </w:t>
      </w:r>
      <w:r>
        <w:rPr>
          <w:sz w:val="20"/>
          <w:u w:val="single"/>
        </w:rPr>
        <w:t>Notices</w:t>
      </w:r>
      <w:r>
        <w:rPr>
          <w:sz w:val="20"/>
        </w:rPr>
        <w:t>. All notices, demands, consents, requests, instructions and other communications to be given or delivered or permitted under or by reason of the provisions of this Agreement or in connection with the transactions contemplated hereby shall be in writing and shall be deemed to be delivered and received by the intended recipient as follows: (i) if personally delivered, on the business day of such delivery (as evidenced by the receipt of the personal delivery service), (ii) if mailed certified or registered mail return receipt requested, two (2) business days after being mailed, (iii) if delivered by overnight courier (with all charges having been prepaid), on the business day of such delivery (as evidenced by the receipt of the overnight courier service of recognized standing), or (iv) if delivered by facsimile transmission, on the business day of such delivery if sent by 6:00 p.m. in the time zone of the recipient, or if sent after that time, on the next succeeding business day (as evidenced by the printed confirmation of delivery generated by the sending party’s telecopier machine). If any notice, demand, consent, request, instruction or other communication cannot be delivered because of a changed address of which no notice was given (in accordance with this Section 4), or the refusal to accept same, the notice, demand, consent, request, instruction or other communication shall be deemed received on the second business day the notice is sent (as evidenced by a sworn affidavit of the sender). All such notices, demands, consents, requests, instructions and other communications will be sent to the following addresses or facsimile numbers as applicable.</w:t>
      </w:r>
    </w:p>
    <w:p>
      <w:pPr>
        <w:pStyle w:val="TextBody"/>
        <w:shd w:fill="FFFFFF" w:val="clear"/>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1</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If to the Company:</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ZW Data Action Technologies Inc.</w:t>
      </w:r>
    </w:p>
    <w:p>
      <w:pPr>
        <w:pStyle w:val="TextBody"/>
        <w:shd w:fill="FFFFFF" w:val="clear"/>
        <w:bidi w:val="0"/>
        <w:spacing w:before="0" w:after="0"/>
        <w:ind w:left="0" w:right="0" w:firstLine="720"/>
        <w:jc w:val="both"/>
        <w:rPr>
          <w:sz w:val="20"/>
        </w:rPr>
      </w:pPr>
      <w:r>
        <w:rPr>
          <w:sz w:val="20"/>
        </w:rPr>
        <w:t>Room 1811, Xinghuo Keji Plaza, No. 2 Fufeng Road,</w:t>
      </w:r>
    </w:p>
    <w:p>
      <w:pPr>
        <w:pStyle w:val="TextBody"/>
        <w:shd w:fill="FFFFFF" w:val="clear"/>
        <w:bidi w:val="0"/>
        <w:spacing w:before="0" w:after="0"/>
        <w:ind w:left="0" w:right="0" w:firstLine="720"/>
        <w:jc w:val="both"/>
        <w:rPr>
          <w:sz w:val="20"/>
        </w:rPr>
      </w:pPr>
      <w:r>
        <w:rPr>
          <w:sz w:val="20"/>
        </w:rPr>
        <w:t>Fengtai District, Beijing, PRC 100070</w:t>
      </w:r>
    </w:p>
    <w:p>
      <w:pPr>
        <w:pStyle w:val="TextBody"/>
        <w:shd w:fill="FFFFFF" w:val="clear"/>
        <w:bidi w:val="0"/>
        <w:spacing w:before="0" w:after="0"/>
        <w:ind w:left="0" w:right="0" w:firstLine="720"/>
        <w:jc w:val="both"/>
        <w:rPr>
          <w:sz w:val="20"/>
        </w:rPr>
      </w:pPr>
      <w:r>
        <w:rPr>
          <w:sz w:val="20"/>
        </w:rPr>
        <w:t>Attention: Mr. Handong Cheng</w:t>
      </w:r>
    </w:p>
    <w:p>
      <w:pPr>
        <w:pStyle w:val="TextBody"/>
        <w:shd w:fill="FFFFFF" w:val="clear"/>
        <w:bidi w:val="0"/>
        <w:spacing w:before="0" w:after="0"/>
        <w:ind w:left="0" w:right="0" w:firstLine="720"/>
        <w:jc w:val="both"/>
        <w:rPr>
          <w:sz w:val="20"/>
        </w:rPr>
      </w:pPr>
      <w:r>
        <w:rPr>
          <w:sz w:val="20"/>
        </w:rPr>
        <w:t>Tel. No.: +86-10-51600828</w:t>
      </w:r>
    </w:p>
    <w:p>
      <w:pPr>
        <w:pStyle w:val="TextBody"/>
        <w:shd w:fill="FFFFFF" w:val="clear"/>
        <w:bidi w:val="0"/>
        <w:spacing w:before="0" w:after="0"/>
        <w:ind w:left="0" w:right="0" w:firstLine="720"/>
        <w:jc w:val="both"/>
        <w:rPr>
          <w:sz w:val="20"/>
        </w:rPr>
      </w:pPr>
      <w:r>
        <w:rPr>
          <w:sz w:val="20"/>
        </w:rPr>
        <w:t>Fax No.: +86-10-51600328</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with copies (which copies shall not constitute notice to the Company) to:</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Loeb &amp; Loeb LLP</w:t>
      </w:r>
    </w:p>
    <w:p>
      <w:pPr>
        <w:pStyle w:val="TextBody"/>
        <w:shd w:fill="FFFFFF" w:val="clear"/>
        <w:bidi w:val="0"/>
        <w:spacing w:before="0" w:after="0"/>
        <w:ind w:left="0" w:right="0" w:firstLine="720"/>
        <w:jc w:val="both"/>
        <w:rPr>
          <w:sz w:val="20"/>
        </w:rPr>
      </w:pPr>
      <w:r>
        <w:rPr>
          <w:sz w:val="20"/>
        </w:rPr>
        <w:t>345 Park Avenue</w:t>
      </w:r>
    </w:p>
    <w:p>
      <w:pPr>
        <w:pStyle w:val="TextBody"/>
        <w:shd w:fill="FFFFFF" w:val="clear"/>
        <w:bidi w:val="0"/>
        <w:spacing w:before="0" w:after="0"/>
        <w:ind w:left="0" w:right="0" w:firstLine="720"/>
        <w:jc w:val="both"/>
        <w:rPr>
          <w:sz w:val="20"/>
        </w:rPr>
      </w:pPr>
      <w:r>
        <w:rPr>
          <w:sz w:val="20"/>
        </w:rPr>
        <w:t>New York, NY 10154</w:t>
      </w:r>
    </w:p>
    <w:p>
      <w:pPr>
        <w:pStyle w:val="TextBody"/>
        <w:shd w:fill="FFFFFF" w:val="clear"/>
        <w:bidi w:val="0"/>
        <w:spacing w:before="0" w:after="0"/>
        <w:ind w:left="0" w:right="0" w:firstLine="720"/>
        <w:jc w:val="both"/>
        <w:rPr>
          <w:sz w:val="20"/>
        </w:rPr>
      </w:pPr>
      <w:r>
        <w:rPr>
          <w:sz w:val="20"/>
        </w:rPr>
        <w:t>Attn.: Mitchell Nussbaum, Esq.</w:t>
      </w:r>
    </w:p>
    <w:p>
      <w:pPr>
        <w:pStyle w:val="TextBody"/>
        <w:shd w:fill="FFFFFF" w:val="clear"/>
        <w:bidi w:val="0"/>
        <w:spacing w:before="0" w:after="0"/>
        <w:ind w:left="0" w:right="0" w:firstLine="720"/>
        <w:jc w:val="both"/>
        <w:rPr>
          <w:sz w:val="20"/>
        </w:rPr>
      </w:pPr>
      <w:r>
        <w:rPr>
          <w:sz w:val="20"/>
        </w:rPr>
        <w:t>Tel. No.: (212) 407-4159</w:t>
      </w:r>
    </w:p>
    <w:p>
      <w:pPr>
        <w:pStyle w:val="TextBody"/>
        <w:shd w:fill="FFFFFF" w:val="clear"/>
        <w:bidi w:val="0"/>
        <w:spacing w:before="0" w:after="0"/>
        <w:ind w:left="0" w:right="0" w:firstLine="720"/>
        <w:jc w:val="both"/>
        <w:rPr>
          <w:sz w:val="20"/>
        </w:rPr>
      </w:pPr>
      <w:r>
        <w:rPr>
          <w:sz w:val="20"/>
        </w:rPr>
        <w:t>Fax No.: (212) 407-4990</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If to the Purchaser:</w:t>
      </w:r>
    </w:p>
    <w:p>
      <w:pPr>
        <w:pStyle w:val="TextBody"/>
        <w:shd w:fill="FFFFFF" w:val="clear"/>
        <w:bidi w:val="0"/>
        <w:spacing w:before="0" w:after="0"/>
        <w:ind w:left="0" w:right="0" w:firstLine="720"/>
        <w:jc w:val="both"/>
        <w:rPr>
          <w:sz w:val="20"/>
        </w:rPr>
      </w:pPr>
      <w:r>
        <w:rPr>
          <w:sz w:val="20"/>
        </w:rPr>
        <w:t>Golden Harvest Trust Limited (in its capacity as trustee of InfiniteReach Investment Group Limited Trust)</w:t>
      </w:r>
    </w:p>
    <w:p>
      <w:pPr>
        <w:pStyle w:val="TextBody"/>
        <w:shd w:fill="FFFFFF" w:val="clear"/>
        <w:bidi w:val="0"/>
        <w:spacing w:before="0" w:after="0"/>
        <w:ind w:left="0" w:right="0" w:firstLine="720"/>
        <w:jc w:val="both"/>
        <w:rPr>
          <w:sz w:val="20"/>
        </w:rPr>
      </w:pPr>
      <w:r>
        <w:rPr>
          <w:sz w:val="20"/>
        </w:rPr>
        <w:t>Flat G, 23/F, COS CTR, 56 Tsun Yip Street,</w:t>
      </w:r>
    </w:p>
    <w:p>
      <w:pPr>
        <w:pStyle w:val="TextBody"/>
        <w:shd w:fill="FFFFFF" w:val="clear"/>
        <w:bidi w:val="0"/>
        <w:spacing w:before="0" w:after="0"/>
        <w:ind w:left="0" w:right="0" w:firstLine="720"/>
        <w:jc w:val="both"/>
        <w:rPr>
          <w:sz w:val="20"/>
        </w:rPr>
      </w:pPr>
      <w:r>
        <w:rPr>
          <w:sz w:val="20"/>
        </w:rPr>
        <w:t>Kwun Tong, Kowloon</w:t>
      </w:r>
    </w:p>
    <w:p>
      <w:pPr>
        <w:pStyle w:val="TextBody"/>
        <w:shd w:fill="FFFFFF" w:val="clear"/>
        <w:bidi w:val="0"/>
        <w:spacing w:before="0" w:after="0"/>
        <w:ind w:left="0" w:right="0" w:firstLine="720"/>
        <w:jc w:val="both"/>
        <w:rPr>
          <w:sz w:val="20"/>
        </w:rPr>
      </w:pPr>
      <w:r>
        <w:rPr>
          <w:sz w:val="20"/>
        </w:rPr>
        <w:t>Attention: Alex Li</w:t>
      </w:r>
    </w:p>
    <w:p>
      <w:pPr>
        <w:pStyle w:val="TextBody"/>
        <w:shd w:fill="FFFFFF" w:val="clear"/>
        <w:bidi w:val="0"/>
        <w:spacing w:before="0" w:after="0"/>
        <w:ind w:left="0" w:right="0" w:firstLine="720"/>
        <w:jc w:val="both"/>
        <w:rPr>
          <w:sz w:val="20"/>
        </w:rPr>
      </w:pPr>
      <w:r>
        <w:rPr>
          <w:sz w:val="20"/>
        </w:rPr>
        <w:t>Tel. No.: 97764399</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or to such other address as any party may specify by notice given to the other party in accordance with this Section 4.</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5. </w:t>
      </w:r>
      <w:r>
        <w:rPr>
          <w:sz w:val="20"/>
          <w:u w:val="single"/>
        </w:rPr>
        <w:t>Amendment</w:t>
      </w:r>
      <w:r>
        <w:rPr>
          <w:sz w:val="20"/>
        </w:rPr>
        <w:t>. This Agreement may not be modified, changed, supplemented, amended or terminated, nor may any obligations hereunder be waived, except by written instrument signed by the parties to be charged or by its agent duly authorized in writing or as otherwise expressly permitted herein.</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6. </w:t>
      </w:r>
      <w:r>
        <w:rPr>
          <w:sz w:val="20"/>
          <w:u w:val="single"/>
        </w:rPr>
        <w:t>Entire Agreement</w:t>
      </w:r>
      <w:r>
        <w:rPr>
          <w:sz w:val="20"/>
        </w:rPr>
        <w:t>. This Agreement contains the entire understanding and agreement of the parties relating to the subject matter hereof and supersedes all prior and/or contemporaneous understandings and agreements of any kind and nature (whether written or oral) among the parties with respect to such subject matter.</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7. </w:t>
      </w:r>
      <w:r>
        <w:rPr>
          <w:sz w:val="20"/>
          <w:u w:val="single"/>
        </w:rPr>
        <w:t>Governing Law</w:t>
      </w:r>
      <w:r>
        <w:rPr>
          <w:sz w:val="20"/>
        </w:rPr>
        <w:t>. This Agreement shall be governed by and construed in accordance with the internal laws of the State of New York, without giving effect to any of the conflicts of law principles which would result in the application of the substantive law of another jurisdiction. This Agreement shall not be interpreted or construed with any presumption against the party causing this Agreement to be drafted.</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8. </w:t>
      </w:r>
      <w:r>
        <w:rPr>
          <w:sz w:val="20"/>
          <w:u w:val="single"/>
        </w:rPr>
        <w:t>Severability</w:t>
      </w:r>
      <w:r>
        <w:rPr>
          <w:sz w:val="20"/>
        </w:rPr>
        <w:t>. The provisions of this Agreement are severable and, in the event that any court of competent jurisdiction shall determine that any one or more of the provisions or part of the provisions contained in this Agreement shall, for any reason, be held to be invalid, illegal or unenforceable in any respect, such invalidity, illegality or unenforceability shall not affect any other provision or part of a provision of this Agreement and such provision shall be reformed and construed as if such invalid or illegal or unenforceable provision, or part of such provision, had never been contained herein, so that such provisions would be valid, legal and enforceable to the maximum extent possible.</w:t>
      </w:r>
    </w:p>
    <w:p>
      <w:pPr>
        <w:pStyle w:val="TextBody"/>
        <w:shd w:fill="FFFFFF" w:val="clear"/>
        <w:bidi w:val="0"/>
        <w:spacing w:before="0" w:after="0"/>
        <w:ind w:left="0" w:right="0" w:firstLine="720"/>
        <w:jc w:val="both"/>
        <w:rPr/>
      </w:pPr>
      <w:r>
        <w:rPr/>
        <w:t> </w:t>
      </w:r>
    </w:p>
    <w:p>
      <w:pPr>
        <w:pStyle w:val="TextBody"/>
        <w:shd w:fill="FFFFFF" w:val="clear"/>
        <w:bidi w:val="0"/>
        <w:spacing w:before="0" w:after="0"/>
        <w:ind w:left="0" w:right="0" w:firstLine="720"/>
        <w:jc w:val="both"/>
        <w:rPr>
          <w:sz w:val="20"/>
        </w:rPr>
      </w:pPr>
      <w:r>
        <w:rPr>
          <w:sz w:val="20"/>
        </w:rPr>
        <w:t>9. </w:t>
      </w:r>
      <w:r>
        <w:rPr>
          <w:sz w:val="20"/>
          <w:u w:val="single"/>
        </w:rPr>
        <w:t>Binding Effect; Assignment</w:t>
      </w:r>
      <w:r>
        <w:rPr>
          <w:sz w:val="20"/>
        </w:rPr>
        <w:t>. This Agreement and the rights and obligations hereunder may not be assigned by the Purchaser hereto without the prior written consent of the Company. This Agreement shall be binding upon and shall inure to the benefit of the parties hereto and their respective successors and permitted assigns.</w:t>
      </w:r>
    </w:p>
    <w:p>
      <w:pPr>
        <w:pStyle w:val="TextBody"/>
        <w:shd w:fill="FFFFFF" w:val="clear"/>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10. </w:t>
      </w:r>
      <w:r>
        <w:rPr>
          <w:sz w:val="20"/>
          <w:u w:val="single"/>
        </w:rPr>
        <w:t>Headings</w:t>
      </w:r>
      <w:r>
        <w:rPr>
          <w:sz w:val="20"/>
        </w:rPr>
        <w:t>. The section headings contained in this Agreement are inserted for reference purposes only and shall not affect in any way the meaning, construction or interpretation of this Agreement. Any reference to the masculine, feminine, or neuter gender shall be a reference to such other gender as is appropriate. References to the singular shall include the plural and vice versa.</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11. </w:t>
      </w:r>
      <w:r>
        <w:rPr>
          <w:sz w:val="20"/>
          <w:u w:val="single"/>
        </w:rPr>
        <w:t>Counterparts</w:t>
      </w:r>
      <w:r>
        <w:rPr>
          <w:sz w:val="20"/>
        </w:rPr>
        <w:t>. This Agreement may be executed in any number of counterparts, each of which when so executed shall be deemed to be an original and, all of which taken together shall constitute one and the same Agreement and shall become effective when counterparts have been signed by each party and delivered to the other parties hereto, it being understood that all parties need not sign the same counterpart. In the event that any signature is delivered by facsimile transmission, such signature shall create a valid binding obligation of the party executing (or on whose behalf such signature is executed) the same with the same force and effect as if such facsimile signature were the original thereof.</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center"/>
        <w:rPr>
          <w:sz w:val="20"/>
        </w:rPr>
      </w:pPr>
      <w:r>
        <w:rPr>
          <w:sz w:val="20"/>
        </w:rPr>
        <w:t>[REMAINDER OF PAGE INTENTIONALLY LEFT BLANK]</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3</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IN WITNESS WHEREOF, the parties have executed this Agreement as of the date first written above herein.</w:t>
      </w:r>
    </w:p>
    <w:p>
      <w:pPr>
        <w:pStyle w:val="TextBody"/>
        <w:shd w:fill="FFFFFF" w:val="clear"/>
        <w:bidi w:val="0"/>
        <w:spacing w:before="0" w:after="0"/>
        <w:ind w:left="0" w:right="0" w:hanging="0"/>
        <w:jc w:val="both"/>
        <w:rPr/>
      </w:pPr>
      <w:r>
        <w:rPr/>
        <w:t> </w:t>
      </w:r>
    </w:p>
    <w:tbl>
      <w:tblPr>
        <w:tblW w:w="5374" w:type="dxa"/>
        <w:jc w:val="left"/>
        <w:tblInd w:w="0" w:type="dxa"/>
        <w:tblLayout w:type="fixed"/>
        <w:tblCellMar>
          <w:top w:w="0" w:type="dxa"/>
          <w:left w:w="0" w:type="dxa"/>
          <w:bottom w:w="0" w:type="dxa"/>
          <w:right w:w="0" w:type="dxa"/>
        </w:tblCellMar>
      </w:tblPr>
      <w:tblGrid>
        <w:gridCol w:w="75"/>
        <w:gridCol w:w="675"/>
        <w:gridCol w:w="4624"/>
      </w:tblGrid>
      <w:tr>
        <w:trPr/>
        <w:tc>
          <w:tcPr>
            <w:tcW w:w="75" w:type="dxa"/>
            <w:tcBorders/>
            <w:vAlign w:val="center"/>
          </w:tcPr>
          <w:p>
            <w:pPr>
              <w:pStyle w:val="TableContents"/>
              <w:bidi w:val="0"/>
              <w:spacing w:before="0" w:after="283"/>
              <w:jc w:val="both"/>
              <w:rPr/>
            </w:pPr>
            <w:r>
              <w:rPr/>
              <w:t> </w:t>
            </w:r>
          </w:p>
        </w:tc>
        <w:tc>
          <w:tcPr>
            <w:tcW w:w="5299" w:type="dxa"/>
            <w:gridSpan w:val="2"/>
            <w:tcBorders/>
            <w:vAlign w:val="center"/>
          </w:tcPr>
          <w:p>
            <w:pPr>
              <w:pStyle w:val="TableContents"/>
              <w:bidi w:val="0"/>
              <w:spacing w:before="0" w:after="283"/>
              <w:jc w:val="both"/>
              <w:rPr>
                <w:b/>
                <w:sz w:val="20"/>
              </w:rPr>
            </w:pPr>
            <w:r>
              <w:rPr>
                <w:b/>
                <w:sz w:val="20"/>
              </w:rPr>
              <w:t>ZW DATA ACTION TECHNOLOGIES INC.</w:t>
            </w:r>
          </w:p>
        </w:tc>
      </w:tr>
      <w:tr>
        <w:trPr/>
        <w:tc>
          <w:tcPr>
            <w:tcW w:w="75" w:type="dxa"/>
            <w:tcBorders/>
            <w:vAlign w:val="center"/>
          </w:tcPr>
          <w:p>
            <w:pPr>
              <w:pStyle w:val="TableContents"/>
              <w:bidi w:val="0"/>
              <w:spacing w:before="0" w:after="283"/>
              <w:jc w:val="both"/>
              <w:rPr/>
            </w:pPr>
            <w:r>
              <w:rPr/>
              <w:t> </w:t>
            </w:r>
          </w:p>
        </w:tc>
        <w:tc>
          <w:tcPr>
            <w:tcW w:w="675" w:type="dxa"/>
            <w:tcBorders/>
            <w:vAlign w:val="center"/>
          </w:tcPr>
          <w:p>
            <w:pPr>
              <w:pStyle w:val="TableContents"/>
              <w:bidi w:val="0"/>
              <w:spacing w:before="0" w:after="283"/>
              <w:jc w:val="both"/>
              <w:rPr/>
            </w:pPr>
            <w:r>
              <w:rPr/>
              <w:t> </w:t>
            </w:r>
          </w:p>
        </w:tc>
        <w:tc>
          <w:tcPr>
            <w:tcW w:w="4624" w:type="dxa"/>
            <w:tcBorders/>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tc>
      </w:tr>
      <w:tr>
        <w:trPr/>
        <w:tc>
          <w:tcPr>
            <w:tcW w:w="75" w:type="dxa"/>
            <w:tcBorders/>
            <w:vAlign w:val="center"/>
          </w:tcPr>
          <w:p>
            <w:pPr>
              <w:pStyle w:val="TableContents"/>
              <w:bidi w:val="0"/>
              <w:spacing w:before="0" w:after="283"/>
              <w:jc w:val="both"/>
              <w:rPr/>
            </w:pPr>
            <w:r>
              <w:rPr/>
              <w:t> </w:t>
            </w:r>
          </w:p>
        </w:tc>
        <w:tc>
          <w:tcPr>
            <w:tcW w:w="675" w:type="dxa"/>
            <w:tcBorders/>
            <w:vAlign w:val="center"/>
          </w:tcPr>
          <w:p>
            <w:pPr>
              <w:pStyle w:val="TableContents"/>
              <w:bidi w:val="0"/>
              <w:spacing w:before="0" w:after="283"/>
              <w:jc w:val="both"/>
              <w:rPr>
                <w:sz w:val="20"/>
              </w:rPr>
            </w:pPr>
            <w:r>
              <w:rPr>
                <w:sz w:val="20"/>
              </w:rPr>
              <w:t>By:</w:t>
            </w:r>
          </w:p>
        </w:tc>
        <w:tc>
          <w:tcPr>
            <w:tcW w:w="4624" w:type="dxa"/>
            <w:tcBorders>
              <w:bottom w:val="single" w:sz="8" w:space="0" w:color="000000"/>
            </w:tcBorders>
            <w:tcMar>
              <w:bottom w:w="28" w:type="dxa"/>
            </w:tcMar>
            <w:vAlign w:val="center"/>
          </w:tcPr>
          <w:p>
            <w:pPr>
              <w:pStyle w:val="TableContents"/>
              <w:bidi w:val="0"/>
              <w:spacing w:before="0" w:after="283"/>
              <w:jc w:val="both"/>
              <w:rPr/>
            </w:pPr>
            <w:r>
              <w:rPr/>
              <w:t>/s/ Handong Cheng</w:t>
            </w:r>
          </w:p>
        </w:tc>
      </w:tr>
      <w:tr>
        <w:trPr/>
        <w:tc>
          <w:tcPr>
            <w:tcW w:w="75" w:type="dxa"/>
            <w:tcBorders/>
            <w:vAlign w:val="center"/>
          </w:tcPr>
          <w:p>
            <w:pPr>
              <w:pStyle w:val="TableContents"/>
              <w:bidi w:val="0"/>
              <w:spacing w:before="0" w:after="283"/>
              <w:jc w:val="both"/>
              <w:rPr/>
            </w:pPr>
            <w:r>
              <w:rPr/>
              <w:t> </w:t>
            </w:r>
          </w:p>
        </w:tc>
        <w:tc>
          <w:tcPr>
            <w:tcW w:w="675" w:type="dxa"/>
            <w:tcBorders/>
            <w:vAlign w:val="center"/>
          </w:tcPr>
          <w:p>
            <w:pPr>
              <w:pStyle w:val="TableContents"/>
              <w:bidi w:val="0"/>
              <w:spacing w:before="0" w:after="283"/>
              <w:jc w:val="both"/>
              <w:rPr/>
            </w:pPr>
            <w:r>
              <w:rPr/>
              <w:t> </w:t>
            </w:r>
          </w:p>
        </w:tc>
        <w:tc>
          <w:tcPr>
            <w:tcW w:w="4624" w:type="dxa"/>
            <w:tcBorders/>
            <w:vAlign w:val="center"/>
          </w:tcPr>
          <w:p>
            <w:pPr>
              <w:pStyle w:val="TableContents"/>
              <w:bidi w:val="0"/>
              <w:spacing w:before="0" w:after="283"/>
              <w:jc w:val="both"/>
              <w:rPr>
                <w:sz w:val="20"/>
              </w:rPr>
            </w:pPr>
            <w:r>
              <w:rPr>
                <w:sz w:val="20"/>
              </w:rPr>
              <w:t>Name: Handong Cheng</w:t>
            </w:r>
          </w:p>
        </w:tc>
      </w:tr>
      <w:tr>
        <w:trPr/>
        <w:tc>
          <w:tcPr>
            <w:tcW w:w="75" w:type="dxa"/>
            <w:tcBorders/>
            <w:vAlign w:val="center"/>
          </w:tcPr>
          <w:p>
            <w:pPr>
              <w:pStyle w:val="TableContents"/>
              <w:bidi w:val="0"/>
              <w:spacing w:before="0" w:after="283"/>
              <w:jc w:val="both"/>
              <w:rPr/>
            </w:pPr>
            <w:r>
              <w:rPr/>
              <w:t> </w:t>
            </w:r>
          </w:p>
        </w:tc>
        <w:tc>
          <w:tcPr>
            <w:tcW w:w="675" w:type="dxa"/>
            <w:tcBorders/>
            <w:vAlign w:val="center"/>
          </w:tcPr>
          <w:p>
            <w:pPr>
              <w:pStyle w:val="TableContents"/>
              <w:bidi w:val="0"/>
              <w:spacing w:before="0" w:after="283"/>
              <w:jc w:val="both"/>
              <w:rPr/>
            </w:pPr>
            <w:r>
              <w:rPr/>
              <w:t> </w:t>
            </w:r>
          </w:p>
        </w:tc>
        <w:tc>
          <w:tcPr>
            <w:tcW w:w="4624" w:type="dxa"/>
            <w:tcBorders/>
            <w:vAlign w:val="center"/>
          </w:tcPr>
          <w:p>
            <w:pPr>
              <w:pStyle w:val="TableContents"/>
              <w:bidi w:val="0"/>
              <w:spacing w:before="0" w:after="283"/>
              <w:jc w:val="both"/>
              <w:rPr>
                <w:sz w:val="20"/>
              </w:rPr>
            </w:pPr>
            <w:r>
              <w:rPr>
                <w:sz w:val="20"/>
              </w:rPr>
              <w:t>Title:  Chief Executive Officer</w:t>
            </w:r>
          </w:p>
        </w:tc>
      </w:tr>
      <w:tr>
        <w:trPr/>
        <w:tc>
          <w:tcPr>
            <w:tcW w:w="75" w:type="dxa"/>
            <w:tcBorders/>
            <w:vAlign w:val="center"/>
          </w:tcPr>
          <w:p>
            <w:pPr>
              <w:pStyle w:val="TableContents"/>
              <w:bidi w:val="0"/>
              <w:spacing w:before="0" w:after="283"/>
              <w:jc w:val="both"/>
              <w:rPr/>
            </w:pPr>
            <w:r>
              <w:rPr/>
              <w:t> </w:t>
            </w:r>
          </w:p>
        </w:tc>
        <w:tc>
          <w:tcPr>
            <w:tcW w:w="675" w:type="dxa"/>
            <w:tcBorders/>
            <w:vAlign w:val="center"/>
          </w:tcPr>
          <w:p>
            <w:pPr>
              <w:pStyle w:val="TableContents"/>
              <w:bidi w:val="0"/>
              <w:spacing w:before="0" w:after="283"/>
              <w:jc w:val="both"/>
              <w:rPr/>
            </w:pPr>
            <w:r>
              <w:rPr/>
              <w:t> </w:t>
            </w:r>
          </w:p>
        </w:tc>
        <w:tc>
          <w:tcPr>
            <w:tcW w:w="462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299" w:type="dxa"/>
            <w:gridSpan w:val="2"/>
            <w:tcBorders/>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both"/>
              <w:rPr>
                <w:b/>
                <w:sz w:val="20"/>
              </w:rPr>
            </w:pPr>
            <w:r>
              <w:rPr>
                <w:b/>
                <w:sz w:val="20"/>
              </w:rPr>
              <w:t>PURCHASER:</w:t>
            </w:r>
          </w:p>
        </w:tc>
      </w:tr>
      <w:tr>
        <w:trPr/>
        <w:tc>
          <w:tcPr>
            <w:tcW w:w="75" w:type="dxa"/>
            <w:tcBorders/>
            <w:vAlign w:val="center"/>
          </w:tcPr>
          <w:p>
            <w:pPr>
              <w:pStyle w:val="TableContents"/>
              <w:bidi w:val="0"/>
              <w:spacing w:before="0" w:after="283"/>
              <w:jc w:val="both"/>
              <w:rPr/>
            </w:pPr>
            <w:r>
              <w:rPr/>
              <w:t> </w:t>
            </w:r>
          </w:p>
        </w:tc>
        <w:tc>
          <w:tcPr>
            <w:tcW w:w="5299" w:type="dxa"/>
            <w:gridSpan w:val="2"/>
            <w:tcBorders/>
            <w:vAlign w:val="center"/>
          </w:tcPr>
          <w:p>
            <w:pPr>
              <w:pStyle w:val="TableContents"/>
              <w:bidi w:val="0"/>
              <w:spacing w:before="0" w:after="0"/>
              <w:ind w:left="0" w:right="0" w:hanging="0"/>
              <w:jc w:val="left"/>
              <w:rPr>
                <w:b/>
                <w:sz w:val="20"/>
              </w:rPr>
            </w:pPr>
            <w:r>
              <w:rPr>
                <w:b/>
                <w:sz w:val="20"/>
              </w:rPr>
              <w:t xml:space="preserve">GOLDEN HARVEST TRUST LIMITED </w:t>
            </w:r>
          </w:p>
          <w:p>
            <w:pPr>
              <w:pStyle w:val="TableContents"/>
              <w:bidi w:val="0"/>
              <w:spacing w:before="0" w:after="0"/>
              <w:ind w:left="0" w:right="0" w:hanging="0"/>
              <w:jc w:val="left"/>
              <w:rPr>
                <w:sz w:val="20"/>
              </w:rPr>
            </w:pPr>
            <w:r>
              <w:rPr>
                <w:sz w:val="20"/>
              </w:rPr>
              <w:t>in its capacity as trustee of</w:t>
            </w:r>
          </w:p>
          <w:p>
            <w:pPr>
              <w:pStyle w:val="TableContents"/>
              <w:bidi w:val="0"/>
              <w:spacing w:before="0" w:after="0"/>
              <w:ind w:left="0" w:right="0" w:hanging="0"/>
              <w:jc w:val="left"/>
              <w:rPr>
                <w:b/>
                <w:sz w:val="20"/>
              </w:rPr>
            </w:pPr>
            <w:r>
              <w:rPr>
                <w:b/>
                <w:sz w:val="20"/>
              </w:rPr>
              <w:t>INFINITEREACH INVESTMENT GROUP LIMITED TRUST</w:t>
            </w:r>
          </w:p>
        </w:tc>
      </w:tr>
      <w:tr>
        <w:trPr/>
        <w:tc>
          <w:tcPr>
            <w:tcW w:w="75" w:type="dxa"/>
            <w:tcBorders/>
            <w:vAlign w:val="center"/>
          </w:tcPr>
          <w:p>
            <w:pPr>
              <w:pStyle w:val="TableContents"/>
              <w:bidi w:val="0"/>
              <w:spacing w:before="0" w:after="283"/>
              <w:jc w:val="both"/>
              <w:rPr/>
            </w:pPr>
            <w:r>
              <w:rPr/>
              <w:t> </w:t>
            </w:r>
          </w:p>
        </w:tc>
        <w:tc>
          <w:tcPr>
            <w:tcW w:w="675" w:type="dxa"/>
            <w:tcBorders/>
            <w:vAlign w:val="center"/>
          </w:tcPr>
          <w:p>
            <w:pPr>
              <w:pStyle w:val="TableContents"/>
              <w:bidi w:val="0"/>
              <w:spacing w:before="0" w:after="283"/>
              <w:jc w:val="left"/>
              <w:rPr>
                <w:sz w:val="4"/>
                <w:szCs w:val="4"/>
              </w:rPr>
            </w:pPr>
            <w:r>
              <w:rPr>
                <w:sz w:val="4"/>
                <w:szCs w:val="4"/>
              </w:rPr>
            </w:r>
          </w:p>
        </w:tc>
        <w:tc>
          <w:tcPr>
            <w:tcW w:w="4624" w:type="dxa"/>
            <w:tcBorders/>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tc>
      </w:tr>
      <w:tr>
        <w:trPr/>
        <w:tc>
          <w:tcPr>
            <w:tcW w:w="75" w:type="dxa"/>
            <w:tcBorders/>
            <w:vAlign w:val="center"/>
          </w:tcPr>
          <w:p>
            <w:pPr>
              <w:pStyle w:val="TableContents"/>
              <w:bidi w:val="0"/>
              <w:spacing w:before="0" w:after="283"/>
              <w:jc w:val="both"/>
              <w:rPr/>
            </w:pPr>
            <w:r>
              <w:rPr/>
              <w:t> </w:t>
            </w:r>
          </w:p>
        </w:tc>
        <w:tc>
          <w:tcPr>
            <w:tcW w:w="675" w:type="dxa"/>
            <w:tcBorders/>
            <w:vAlign w:val="center"/>
          </w:tcPr>
          <w:p>
            <w:pPr>
              <w:pStyle w:val="TableContents"/>
              <w:bidi w:val="0"/>
              <w:spacing w:before="0" w:after="283"/>
              <w:jc w:val="both"/>
              <w:rPr/>
            </w:pPr>
            <w:r>
              <w:rPr/>
              <w:t>By:</w:t>
            </w:r>
          </w:p>
        </w:tc>
        <w:tc>
          <w:tcPr>
            <w:tcW w:w="4624" w:type="dxa"/>
            <w:tcBorders>
              <w:bottom w:val="single" w:sz="8" w:space="0" w:color="000000"/>
            </w:tcBorders>
            <w:tcMar>
              <w:bottom w:w="28" w:type="dxa"/>
            </w:tcMar>
            <w:vAlign w:val="center"/>
          </w:tcPr>
          <w:p>
            <w:pPr>
              <w:pStyle w:val="TableContents"/>
              <w:bidi w:val="0"/>
              <w:spacing w:before="0" w:after="283"/>
              <w:jc w:val="both"/>
              <w:rPr/>
            </w:pPr>
            <w:r>
              <w:rPr/>
              <w:t>/s/ Lo Ming Chi</w:t>
            </w:r>
          </w:p>
        </w:tc>
      </w:tr>
      <w:tr>
        <w:trPr/>
        <w:tc>
          <w:tcPr>
            <w:tcW w:w="75" w:type="dxa"/>
            <w:tcBorders/>
            <w:vAlign w:val="center"/>
          </w:tcPr>
          <w:p>
            <w:pPr>
              <w:pStyle w:val="TableContents"/>
              <w:bidi w:val="0"/>
              <w:spacing w:before="0" w:after="283"/>
              <w:jc w:val="both"/>
              <w:rPr/>
            </w:pPr>
            <w:r>
              <w:rPr/>
              <w:t> </w:t>
            </w:r>
          </w:p>
        </w:tc>
        <w:tc>
          <w:tcPr>
            <w:tcW w:w="675" w:type="dxa"/>
            <w:tcBorders/>
            <w:vAlign w:val="center"/>
          </w:tcPr>
          <w:p>
            <w:pPr>
              <w:pStyle w:val="TableContents"/>
              <w:bidi w:val="0"/>
              <w:spacing w:before="0" w:after="283"/>
              <w:jc w:val="both"/>
              <w:rPr/>
            </w:pPr>
            <w:r>
              <w:rPr/>
              <w:t> </w:t>
            </w:r>
          </w:p>
        </w:tc>
        <w:tc>
          <w:tcPr>
            <w:tcW w:w="4624" w:type="dxa"/>
            <w:tcBorders/>
            <w:vAlign w:val="center"/>
          </w:tcPr>
          <w:p>
            <w:pPr>
              <w:pStyle w:val="TableContents"/>
              <w:bidi w:val="0"/>
              <w:spacing w:before="0" w:after="283"/>
              <w:jc w:val="both"/>
              <w:rPr>
                <w:sz w:val="20"/>
              </w:rPr>
            </w:pPr>
            <w:r>
              <w:rPr>
                <w:sz w:val="20"/>
              </w:rPr>
              <w:t>Name:  Lo Ming Chi</w:t>
            </w:r>
          </w:p>
        </w:tc>
      </w:tr>
      <w:tr>
        <w:trPr/>
        <w:tc>
          <w:tcPr>
            <w:tcW w:w="75" w:type="dxa"/>
            <w:tcBorders/>
            <w:vAlign w:val="center"/>
          </w:tcPr>
          <w:p>
            <w:pPr>
              <w:pStyle w:val="TableContents"/>
              <w:bidi w:val="0"/>
              <w:spacing w:before="0" w:after="283"/>
              <w:jc w:val="both"/>
              <w:rPr/>
            </w:pPr>
            <w:r>
              <w:rPr/>
              <w:t> </w:t>
            </w:r>
          </w:p>
        </w:tc>
        <w:tc>
          <w:tcPr>
            <w:tcW w:w="675" w:type="dxa"/>
            <w:tcBorders/>
            <w:vAlign w:val="center"/>
          </w:tcPr>
          <w:p>
            <w:pPr>
              <w:pStyle w:val="TableContents"/>
              <w:bidi w:val="0"/>
              <w:spacing w:before="0" w:after="283"/>
              <w:jc w:val="both"/>
              <w:rPr/>
            </w:pPr>
            <w:r>
              <w:rPr/>
              <w:t> </w:t>
            </w:r>
          </w:p>
        </w:tc>
        <w:tc>
          <w:tcPr>
            <w:tcW w:w="4624" w:type="dxa"/>
            <w:tcBorders/>
            <w:vAlign w:val="center"/>
          </w:tcPr>
          <w:p>
            <w:pPr>
              <w:pStyle w:val="TableContents"/>
              <w:bidi w:val="0"/>
              <w:spacing w:before="0" w:after="283"/>
              <w:jc w:val="both"/>
              <w:rPr>
                <w:sz w:val="20"/>
              </w:rPr>
            </w:pPr>
            <w:r>
              <w:rPr>
                <w:sz w:val="20"/>
              </w:rPr>
              <w:t>Title:  Director</w:t>
            </w:r>
          </w:p>
        </w:tc>
      </w:tr>
      <w:tr>
        <w:trPr/>
        <w:tc>
          <w:tcPr>
            <w:tcW w:w="75" w:type="dxa"/>
            <w:tcBorders/>
            <w:vAlign w:val="center"/>
          </w:tcPr>
          <w:p>
            <w:pPr>
              <w:pStyle w:val="TableContents"/>
              <w:bidi w:val="0"/>
              <w:spacing w:before="0" w:after="283"/>
              <w:jc w:val="both"/>
              <w:rPr/>
            </w:pPr>
            <w:r>
              <w:rPr/>
              <w:t> </w:t>
            </w:r>
          </w:p>
        </w:tc>
        <w:tc>
          <w:tcPr>
            <w:tcW w:w="675" w:type="dxa"/>
            <w:tcBorders/>
            <w:vAlign w:val="center"/>
          </w:tcPr>
          <w:p>
            <w:pPr>
              <w:pStyle w:val="TableContents"/>
              <w:bidi w:val="0"/>
              <w:spacing w:before="0" w:after="283"/>
              <w:jc w:val="both"/>
              <w:rPr/>
            </w:pPr>
            <w:r>
              <w:rPr/>
              <w:t> </w:t>
            </w:r>
          </w:p>
        </w:tc>
        <w:tc>
          <w:tcPr>
            <w:tcW w:w="4624" w:type="dxa"/>
            <w:tcBorders/>
            <w:vAlign w:val="center"/>
          </w:tcPr>
          <w:p>
            <w:pPr>
              <w:pStyle w:val="TableContents"/>
              <w:bidi w:val="0"/>
              <w:spacing w:before="0" w:after="283"/>
              <w:jc w:val="both"/>
              <w:rPr/>
            </w:pPr>
            <w:r>
              <w:rPr/>
              <w:t> </w:t>
            </w:r>
          </w:p>
        </w:tc>
      </w:tr>
    </w:tbl>
    <w:p>
      <w:pPr>
        <w:pStyle w:val="TextBody"/>
        <w:shd w:fill="FFFFFF" w:val="clear"/>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jc w:val="right"/>
        <w:rPr/>
      </w:pPr>
      <w:r>
        <w:rPr/>
        <w:t>4</w:t>
      </w:r>
    </w:p>
    <w:p>
      <w:pPr>
        <w:pStyle w:val="TextBody"/>
        <w:bidi w:val="0"/>
        <w:spacing w:before="60" w:after="60"/>
        <w:ind w:left="60" w:right="60" w:hanging="0"/>
        <w:jc w:val="left"/>
        <w:rPr>
          <w:bdr w:val="single" w:sz="24" w:space="1" w:color="000000"/>
        </w:rPr>
      </w:pPr>
      <w:r>
        <w:rPr>
          <w:bdr w:val="single" w:sz="24" w:space="1" w:color="000000"/>
        </w:rPr>
        <w:t> </w:t>
      </w:r>
    </w:p>
    <w:p>
      <w:pPr>
        <w:pStyle w:val="TextBody"/>
        <w:bidi w:val="0"/>
        <w:spacing w:before="0" w:after="0"/>
        <w:ind w:left="0" w:right="0" w:hanging="0"/>
        <w:jc w:val="right"/>
        <w:rPr>
          <w:b/>
          <w:sz w:val="20"/>
        </w:rPr>
      </w:pPr>
      <w:bookmarkStart w:id="28" w:name="exh_103.htm"/>
      <w:bookmarkStart w:id="29" w:name="ksexh_103"/>
      <w:bookmarkEnd w:id="28"/>
      <w:bookmarkEnd w:id="29"/>
      <w:r>
        <w:rPr>
          <w:b/>
          <w:sz w:val="20"/>
        </w:rPr>
        <w:t>Exhibit 10.3</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SECURITIES PURCHASE AGREEMENT</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This SECURITIES PURCHASE AGREEMENT (this “</w:t>
      </w:r>
      <w:r>
        <w:rPr>
          <w:sz w:val="20"/>
          <w:u w:val="single"/>
        </w:rPr>
        <w:t>Agreement</w:t>
      </w:r>
      <w:r>
        <w:rPr>
          <w:sz w:val="20"/>
        </w:rPr>
        <w:t>”) is dated as of 8 May, 2025 by and among ZW Data Action Technologies Inc., a Nevada corporation (NASDAQ: CNET) (the “</w:t>
      </w:r>
      <w:r>
        <w:rPr>
          <w:sz w:val="20"/>
          <w:u w:val="single"/>
        </w:rPr>
        <w:t>Company</w:t>
      </w:r>
      <w:r>
        <w:rPr>
          <w:sz w:val="20"/>
        </w:rPr>
        <w:t>”), and BlackSilver Trust (Hong Kong) Limited (Business Registration Number: 74239285) in its capacity as trustee of the VividHorizon Trust (the “</w:t>
      </w:r>
      <w:r>
        <w:rPr>
          <w:sz w:val="20"/>
          <w:u w:val="single"/>
        </w:rPr>
        <w:t>Purchaser</w:t>
      </w:r>
      <w:r>
        <w:rPr>
          <w:sz w:val="20"/>
        </w:rPr>
        <w:t>”).</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ARTICLE 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Purchase and Sale of Common Stock</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1.1 </w:t>
      </w:r>
      <w:r>
        <w:rPr>
          <w:sz w:val="20"/>
          <w:u w:val="single"/>
        </w:rPr>
        <w:t>Purchase and Sale of Common Stock</w:t>
      </w:r>
      <w:r>
        <w:rPr>
          <w:sz w:val="20"/>
        </w:rPr>
        <w:t>. Upon the following terms and conditions, the Company is offering to the Purchaser 119,100 shares of common stock (the “</w:t>
      </w:r>
      <w:r>
        <w:rPr>
          <w:sz w:val="20"/>
          <w:u w:val="single"/>
        </w:rPr>
        <w:t>Shares</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1.2 </w:t>
      </w:r>
      <w:r>
        <w:rPr>
          <w:sz w:val="20"/>
          <w:u w:val="single"/>
        </w:rPr>
        <w:t>Purchase Price and Closing.</w:t>
      </w:r>
      <w:r>
        <w:rPr>
          <w:sz w:val="20"/>
        </w:rPr>
        <w:t xml:space="preserve"> Subject to the terms and conditions hereof, the Company agrees to issue and sell to the Purchaser and, in consideration of and in express reliance upon the representations, warranties, covenants, terms and conditions of this Agreement, the Purchaser agrees to purchase the Shares for $2.1 per Share (the “</w:t>
      </w:r>
      <w:r>
        <w:rPr>
          <w:sz w:val="20"/>
          <w:u w:val="single"/>
        </w:rPr>
        <w:t>Purchase Price</w:t>
      </w:r>
      <w:r>
        <w:rPr>
          <w:sz w:val="20"/>
        </w:rPr>
        <w:t>”) for an aggregate purchase price of $250,110. The Purchaser shall pay the Purchase Price in full at closing which shall take place at the offices of Loeb &amp; Loeb, LLP, 345 Park Avenue, New York, NY 10154 (the “</w:t>
      </w:r>
      <w:r>
        <w:rPr>
          <w:sz w:val="20"/>
          <w:u w:val="single"/>
        </w:rPr>
        <w:t>Closing</w:t>
      </w:r>
      <w:r>
        <w:rPr>
          <w:sz w:val="20"/>
        </w:rPr>
        <w:t>”) on the date mutually agreed to by the parties (the “</w:t>
      </w:r>
      <w:r>
        <w:rPr>
          <w:sz w:val="20"/>
          <w:u w:val="single"/>
        </w:rPr>
        <w:t>Closing Date</w:t>
      </w:r>
      <w:r>
        <w:rPr>
          <w:sz w:val="20"/>
        </w:rPr>
        <w:t>”). Subject to the terms and conditions of this Agreement, at the Closing, the Company shall deliver or cause to be delivered to Purchaser (x) a certificate for the number of Shares subscribed for and (y) any other documents required to be delivered pursuant to Article IV hereof.</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ARTICLE II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Representations and Warranties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2.1 </w:t>
      </w:r>
      <w:r>
        <w:rPr>
          <w:sz w:val="20"/>
          <w:u w:val="single"/>
        </w:rPr>
        <w:t>Representations and Warranties of the Company, its Subsidiaries and the PRC Operating Entities</w:t>
      </w:r>
      <w:r>
        <w:rPr>
          <w:sz w:val="20"/>
        </w:rPr>
        <w:t>. The Company hereby represents and warrants to the Purchaser on behalf of itself, its Subsidiaries (as hereinafter defined) and the PRC Operating Entities (as hereinafter defined), as of the date hereof, as follows:</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 xml:space="preserve">(a) </w:t>
      </w:r>
      <w:r>
        <w:rPr>
          <w:sz w:val="20"/>
          <w:u w:val="single"/>
        </w:rPr>
        <w:t>Organization, Good Standing and Power</w:t>
      </w:r>
      <w:r>
        <w:rPr>
          <w:sz w:val="20"/>
        </w:rPr>
        <w:t>. Each of the Company, its Subsidiaries and the PRC Operating Entities is a corporation or other entity duly incorporated or otherwise organized, validly existing and in good standing under the laws of its jurisdiction of incorporation or organization (as applicable) and has the requisite corporate power to own, lease and operate its properties and assets and to conduct its business as it is now being conducted. Each of the Company, its Subsidiaries and the PRC Operating Entities is duly qualified to do business and is in good standing in every jurisdiction in which the nature of the business conducted or property owned by it makes such qualification necessary except for any jurisdiction(s) (alone or in the aggregate) in which the failure to be so qualified will not have a Material Adverse Effect (as defined in Section 2.1(g) hereof) on the Company’s consolidated financial condition.</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(b) </w:t>
      </w:r>
      <w:r>
        <w:rPr>
          <w:sz w:val="20"/>
          <w:u w:val="single"/>
        </w:rPr>
        <w:t>Corporate Power; Authority and Enforcement</w:t>
      </w:r>
      <w:r>
        <w:rPr>
          <w:sz w:val="20"/>
        </w:rPr>
        <w:t xml:space="preserve">. The Company has the requisite corporate power and authority to enter into and perform this Agreement and the Lock-Up Agreement, attached hereto as </w:t>
      </w:r>
      <w:r>
        <w:rPr>
          <w:sz w:val="20"/>
          <w:u w:val="single"/>
        </w:rPr>
        <w:t xml:space="preserve">Exhibit A </w:t>
      </w:r>
      <w:r>
        <w:rPr>
          <w:sz w:val="20"/>
        </w:rPr>
        <w:t>(collectively, the “</w:t>
      </w:r>
      <w:r>
        <w:rPr>
          <w:sz w:val="20"/>
          <w:u w:val="single"/>
        </w:rPr>
        <w:t>Transaction Documents</w:t>
      </w:r>
      <w:r>
        <w:rPr>
          <w:sz w:val="20"/>
        </w:rPr>
        <w:t>”),and to issue and sell the Shares in accordance with the terms hereof. The execution, delivery and performance of the Transaction Documents by the Company and the consummation by it of the transactions contemplated hereby and thereby have been duly and validly authorized by all necessary corporate action, and no further consent or authorization of the Company or its Board of Directors or stockholders is required. Each of the Transaction Documents constitutes, or shall constitute when executed and delivered, a valid and binding obligation of the Company enforceable against the Company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1440"/>
        <w:jc w:val="both"/>
        <w:rPr>
          <w:sz w:val="20"/>
        </w:rPr>
      </w:pPr>
      <w:r>
        <w:rPr>
          <w:sz w:val="20"/>
        </w:rPr>
        <w:t xml:space="preserve">(c) </w:t>
      </w:r>
      <w:r>
        <w:rPr>
          <w:sz w:val="20"/>
          <w:u w:val="single"/>
        </w:rPr>
        <w:t>Capitalization</w:t>
      </w:r>
      <w:r>
        <w:rPr>
          <w:sz w:val="20"/>
        </w:rPr>
        <w:t>. The authorized capital stock of the Company and the shares thereof currently issued and outstanding as of the date hereof is set forth in the Company’s filings made with the Securities and Exchange Commission (the “</w:t>
      </w:r>
      <w:r>
        <w:rPr>
          <w:sz w:val="20"/>
          <w:u w:val="single"/>
        </w:rPr>
        <w:t>Commission</w:t>
      </w:r>
      <w:r>
        <w:rPr>
          <w:sz w:val="20"/>
        </w:rPr>
        <w:t>”). All of the issued and outstanding shares of common stock of the Company have been duly and validly authorized. The offer and sale of all capital stock, convertible securities, rights, warrants, or options of the Company issued prior to the Closing complied with all applicable Federal and state securities laws.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(d) </w:t>
      </w:r>
      <w:r>
        <w:rPr>
          <w:sz w:val="20"/>
          <w:u w:val="single"/>
        </w:rPr>
        <w:t>Issuance of Shares</w:t>
      </w:r>
      <w:r>
        <w:rPr>
          <w:sz w:val="20"/>
        </w:rPr>
        <w:t>. The Shares to be issued at the Closing have been duly authorized by all necessary corporate action and the Shares, when paid for or issued in accordance with the terms hereof, will be validly issued and outstanding, fully paid and nonassessable and, immediately after the Closing, the Purchaser will be the record and beneficial owners of all of such securities and have good and valid title to all of such securities, free and clear of all encumbrances.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(e) </w:t>
      </w:r>
      <w:r>
        <w:rPr>
          <w:sz w:val="20"/>
          <w:u w:val="single"/>
        </w:rPr>
        <w:t>Subsidiaries</w:t>
      </w:r>
      <w:r>
        <w:rPr>
          <w:sz w:val="20"/>
        </w:rPr>
        <w:t>. There are no outstanding preemptive, conversion or other rights, options, warrants or agreements granted or issued by or binding upon any Subsidiary for the purchase or acquisition of any shares of capital stock of any Subsidiary or any other securities convertible into, exchangeable for or evidencing the rights to subscribe for any shares of such capital stock. Neither the Company nor any Subsidiary is subject to any obligation (contingent or otherwise) to repurchase or otherwise acquire or retire any shares of the capital stock of any Subsidiary or any convertible securities, rights, warrants or options of the type described in the preceding sentence. Except as filed as exhibits with the Commission, neither the Company nor any Subsidiary is party to, nor has any knowledge of, any agreement restricting the voting or transfer of any shares of the capital stock of any Subsidiary. For the purposes of this Agreement, “</w:t>
      </w:r>
      <w:r>
        <w:rPr>
          <w:sz w:val="20"/>
          <w:u w:val="single"/>
        </w:rPr>
        <w:t>Subsidiary</w:t>
      </w:r>
      <w:r>
        <w:rPr>
          <w:sz w:val="20"/>
        </w:rPr>
        <w:t>” shall mean any corporation or other entity of which at least a majority of the securities or other ownership interests having ordinary voting power (absolutely or contingently) for the election of directors or other persons performing similar functions are at the time owned directly or indirectly by the Company and/or any of its other Subsidiaries. All of the outstanding shares of capital stock of each Subsidiary has been duly authorized and validly issued, and are fully paid and nonassessable.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(f) </w:t>
      </w:r>
      <w:r>
        <w:rPr>
          <w:sz w:val="20"/>
          <w:u w:val="single"/>
        </w:rPr>
        <w:t>Commission Documents, Financial Statements</w:t>
      </w:r>
      <w:r>
        <w:rPr>
          <w:sz w:val="20"/>
        </w:rPr>
        <w:t>. The Company has filed all reports, schedules, forms, statements and other documents required to be filed by it with the Commission pursuant to the reporting requirements of the Securities Exchange Act of 1934, as amended (the “</w:t>
      </w:r>
      <w:r>
        <w:rPr>
          <w:sz w:val="20"/>
          <w:u w:val="single"/>
        </w:rPr>
        <w:t>Exchange Act</w:t>
      </w:r>
      <w:r>
        <w:rPr>
          <w:sz w:val="20"/>
        </w:rPr>
        <w:t>”), including material filed pursuant to Section 13(a) or 15(d) of the Exchange Act (all of the foregoing including filings incorporated by reference therein being referred to herein as the “</w:t>
      </w:r>
      <w:r>
        <w:rPr>
          <w:sz w:val="20"/>
          <w:u w:val="single"/>
        </w:rPr>
        <w:t>Commission Documents</w:t>
      </w:r>
      <w:r>
        <w:rPr>
          <w:sz w:val="20"/>
        </w:rPr>
        <w:t>”). The Company has not provided to the Purchaser any material non-public information or other information which, according to applicable law, rule or regulation, was required to have been disclosed publicly by the Company but which has not been so disclosed, other than (i) with respect to the transactions contemplated by this Agreement, or (ii) pursuant to a non-disclosure or confidentiality agreement signed by the Purchaser. At the time of the respective filings, the Form 10-K’s and the Form 10-Q’s complied in all material respects with the requirements of the Exchange Act and the rules and regulations of the Commission promulgated thereunder and other federal, state and local laws, rules and regulations applicable to such documents. As of their respective filing dates, none of the Form 10-K’s or Form 10-Q’s contained any untrue statement of a material fact; and none omitted to state a material fact required to be stated therein or necessary in order to make the statements therein, in light of the circumstances under which they were made, not misleading. The financial statements of the Company included in the Commission Documents (the “</w:t>
      </w:r>
      <w:r>
        <w:rPr>
          <w:sz w:val="20"/>
          <w:u w:val="single"/>
        </w:rPr>
        <w:t>Financial Statements</w:t>
      </w:r>
      <w:r>
        <w:rPr>
          <w:sz w:val="20"/>
        </w:rPr>
        <w:t>”) comply as to form in all material respects with applicable accounting requirements and the published rules and regulations of the Commission or other applicable rules and regulations with respect thereto. The Financial Statements have been prepared in accordance with United States generally accepted accounting principles (“</w:t>
      </w:r>
      <w:r>
        <w:rPr>
          <w:sz w:val="20"/>
          <w:u w:val="single"/>
        </w:rPr>
        <w:t>GAAP</w:t>
      </w:r>
      <w:r>
        <w:rPr>
          <w:sz w:val="20"/>
        </w:rPr>
        <w:t>”) applied on a consistent basis during the periods involved (except (i) as may be otherwise indicated in the Financial Statements or the notes thereto or (ii) in the case of unaudited interim statements, to the extent they may not include footnotes or may be condensed or summary statements), and fairly present in all material respects the consolidated financial position of the Company as of the dates thereof and the results of operations and cash flows for the periods then ended (subject, in the case of unaudited statements, to normal year-end audit adjustments).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(g) </w:t>
      </w:r>
      <w:r>
        <w:rPr>
          <w:sz w:val="20"/>
          <w:u w:val="single"/>
        </w:rPr>
        <w:t>No Material Adverse Effect</w:t>
      </w:r>
      <w:r>
        <w:rPr>
          <w:sz w:val="20"/>
        </w:rPr>
        <w:t>. Since 8 May, 2025, neither the Company, the Subsidiaries, nor the PRC Operating Entities has experienced or suffered any Material Adverse Effect. For the purposes of this Agreement, “</w:t>
      </w:r>
      <w:r>
        <w:rPr>
          <w:sz w:val="20"/>
          <w:u w:val="single"/>
        </w:rPr>
        <w:t>Material Adverse Effect</w:t>
      </w:r>
      <w:r>
        <w:rPr>
          <w:sz w:val="20"/>
        </w:rPr>
        <w:t>” means any material adverse effect on the business, operations, properties, or financial condition of the Company, its Subsidiaries, the PRC Operating Entities, individually, or in the aggregate and/or any condition, circumstance, or situation that would prohibit or otherwise materially interfere with the ability of the Company to perform any of its obligations under this Agreement in any material respect.</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1440"/>
        <w:jc w:val="both"/>
        <w:rPr>
          <w:sz w:val="20"/>
        </w:rPr>
      </w:pPr>
      <w:r>
        <w:rPr>
          <w:sz w:val="20"/>
        </w:rPr>
        <w:t xml:space="preserve">(h) </w:t>
      </w:r>
      <w:r>
        <w:rPr>
          <w:sz w:val="20"/>
          <w:u w:val="single"/>
        </w:rPr>
        <w:t>No Undisclosed Liabilities</w:t>
      </w:r>
      <w:r>
        <w:rPr>
          <w:sz w:val="20"/>
        </w:rPr>
        <w:t>. Other than as set forth in the Commission Documents, to the knowledge of the Company, neither the Company, the Subsidiaries, nor the PRC Operating Entities has any liabilities, obligations, claims or losses (whether liquidated or unliquidated, secured or unsecured, absolute, accrued, contingent or otherwise) other than those incurred in the ordinary course of the Company’s, the Subsidiaries’ and the PRC Operating Entities’ respective businesses since 8 May, 2025 and which, individually or in the aggregate, do not or would not have a Material Adverse Effect on the Company, the Subsidiaries or the PRC Operating Entities.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(i) </w:t>
      </w:r>
      <w:r>
        <w:rPr>
          <w:sz w:val="20"/>
          <w:u w:val="single"/>
        </w:rPr>
        <w:t>No Undisclosed Events or Circumstances</w:t>
      </w:r>
      <w:r>
        <w:rPr>
          <w:sz w:val="20"/>
        </w:rPr>
        <w:t>. To the Company’s knowledge, no event or circumstance has occurred or exists with respect to the Company, the Subsidiaries or the PRC Operating Entities or their respective businesses, properties, operations or financial condition, which, under applicable law, rule or regulation, requires public disclosure or announcement by the Company but which has not been so publicly announced or disclosed.</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(j) </w:t>
      </w:r>
      <w:r>
        <w:rPr>
          <w:sz w:val="20"/>
          <w:u w:val="single"/>
        </w:rPr>
        <w:t>Indebtedness</w:t>
      </w:r>
      <w:r>
        <w:rPr>
          <w:sz w:val="20"/>
        </w:rPr>
        <w:t>. The Financial Statements set forth all outstanding secured and unsecured Indebtedness of the Company on a consolidated basis, or for which the Company, the Subsidiaries or the PRC Operating Entities have commitments as of the date of Financial Statements or any subsequent period that would require disclosure. For the purposes of this Agreement, “</w:t>
      </w:r>
      <w:r>
        <w:rPr>
          <w:sz w:val="20"/>
          <w:u w:val="single"/>
        </w:rPr>
        <w:t>Indebtedness</w:t>
      </w:r>
      <w:r>
        <w:rPr>
          <w:sz w:val="20"/>
        </w:rPr>
        <w:t>” shall mean (a) any liabilities for borrowed money or amounts owed in excess of $50,000 (other than trade accounts payable incurred in the ordinary course of business), (b) all guaranties, endorsements and other contingent obligations in respect of Indebtedness of others, whether or not the same should be reflected in the Company’s consolidated balance sheet (or the notes thereto), except guaranties by endorsement of negotiable instruments for deposit or collection or similar transactions in the ordinary course of business; and (c) the present value of any lease payments in excess of $25,000 due under leases required to be capitalized in accordance with GAAP. Neither the Company, the Subsidiaries nor the PRC Operating Entities is in default with respect to any Indebtedness.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(k) </w:t>
      </w:r>
      <w:r>
        <w:rPr>
          <w:sz w:val="20"/>
          <w:u w:val="single"/>
        </w:rPr>
        <w:t>Title to Assets</w:t>
      </w:r>
      <w:r>
        <w:rPr>
          <w:sz w:val="20"/>
        </w:rPr>
        <w:t>. Each of the Company, the Subsidiaries and the PRC Operating Entities has good and marketable title to (i) all properties and assets purportedly owned or used by them as reflected in the Financial Statements, (ii) all properties and assets necessary for the conduct of their business as currently conducted, and (iii) all of the real and personal property reflected in the Financial Statements free and clear of any Lien. All leases are valid and subsisting and in full force and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(l) </w:t>
      </w:r>
      <w:r>
        <w:rPr>
          <w:sz w:val="20"/>
          <w:u w:val="single"/>
        </w:rPr>
        <w:t>Actions Pending</w:t>
      </w:r>
      <w:r>
        <w:rPr>
          <w:sz w:val="20"/>
        </w:rPr>
        <w:t>. There is no action, suit, claim, investigation, arbitration, alternate dispute resolution proceeding or any other proceeding pending or, to the knowledge of the Company, threatened against or involving the Company, any Subsidiary or any PRC Operating Entity which questions the validity of this Agreement or any of the other Transaction Documents or the transactions contemplated hereby or any action taken or to be taken pursuant hereto or thereto.</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(m) </w:t>
      </w:r>
      <w:r>
        <w:rPr>
          <w:sz w:val="20"/>
          <w:u w:val="single"/>
        </w:rPr>
        <w:t>Compliance with Law</w:t>
      </w:r>
      <w:r>
        <w:rPr>
          <w:sz w:val="20"/>
        </w:rPr>
        <w:t>. The Company, the Subsidiaries and the PRC Operating Entities have all material franchises, permits, licenses, consents and other governmental or regulatory authorizations and approvals necessary for the conduct of their respective business as now being conducted by it unless the failure to possess such franchises, permits, licenses, consents and other governmental or regulatory authorizations and approvals, individually or in the aggregate, could not reasonably be expected to have a Material Adverse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(n) </w:t>
      </w:r>
      <w:r>
        <w:rPr>
          <w:sz w:val="20"/>
          <w:u w:val="single"/>
        </w:rPr>
        <w:t>No Violation.</w:t>
      </w:r>
      <w:r>
        <w:rPr>
          <w:sz w:val="20"/>
        </w:rPr>
        <w:t xml:space="preserve"> The business of the Company, the Subsidiaries and the PRC Operating Entities is not being conducted in violation of any Federal, state, local or foreign governmental laws, or rules, regulations and ordinances of any of any governmental entity, except for possible violations which singularly or in the aggregate could not reasonably be expected to have a Material Adverse Effect. The Company is not required under Federal, state, local or foreign law, rule or regulation to obtain any consent, authorization or order of, or make any filing or registration with, any court or governmental agency in order for it to execute, deliver or perform any of its obligations under the Transaction Documents, or issue and sell the Shares, in accordance with the terms hereof (other than (x) any consent, authorization or order that has been obtained as of the date hereof, (y) any filing or registration that has been made as of the date hereof or (z) any filings which may be required to be made by the Company with the Commission or state securities administrators subsequent to the Closing).</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1440"/>
        <w:jc w:val="both"/>
        <w:rPr>
          <w:sz w:val="20"/>
        </w:rPr>
      </w:pPr>
      <w:r>
        <w:rPr>
          <w:sz w:val="20"/>
        </w:rPr>
        <w:t xml:space="preserve">(o) </w:t>
      </w:r>
      <w:r>
        <w:rPr>
          <w:sz w:val="20"/>
          <w:u w:val="single"/>
        </w:rPr>
        <w:t>No Conflicts</w:t>
      </w:r>
      <w:r>
        <w:rPr>
          <w:sz w:val="20"/>
        </w:rPr>
        <w:t>. The execution, delivery and performance of the Transaction Documents by the Company and the consummation by the Company of the transactions contemplated herein do not and will not (i) violate any provision of the Company’s Articles of Incorporation or Bylaws, (ii) conflict with, or constitute a default (or an event which with notice or lapse of time or both would become a default) under, or give to others any rights of termination, amendment, acceleration or cancellation of, any agreement, mortgage, deed of trust, indenture, note, bond, license, lease agreement, instrument or obligation to which the Company is a party or by which it or its properties or assets are bound, (iii) create or impose a lien, mortgage, security interest, pledge, charge or encumbrance (collectively, “</w:t>
      </w:r>
      <w:r>
        <w:rPr>
          <w:sz w:val="20"/>
          <w:u w:val="single"/>
        </w:rPr>
        <w:t>Lien</w:t>
      </w:r>
      <w:r>
        <w:rPr>
          <w:sz w:val="20"/>
        </w:rPr>
        <w:t xml:space="preserve">”) of any nature on any property of the Company under any agreement or any commitment to which the Company is a party or by which the Company is bound or by which any of its respective properties or assets are bound, or (iv) result in a violation of any federal, state, local or foreign statute, rule, regulation, order, judgment or decree (including Federal and state securities laws and regulations) applicable to the Company or any of its subsidiaries or by which any property or asset of the Company or any of its subsidiaries are bound or affected, </w:t>
      </w:r>
      <w:r>
        <w:rPr>
          <w:sz w:val="20"/>
          <w:u w:val="single"/>
        </w:rPr>
        <w:t>provided</w:t>
      </w:r>
      <w:r>
        <w:rPr>
          <w:sz w:val="20"/>
        </w:rPr>
        <w:t xml:space="preserve">, </w:t>
      </w:r>
      <w:r>
        <w:rPr>
          <w:sz w:val="20"/>
          <w:u w:val="single"/>
        </w:rPr>
        <w:t>however</w:t>
      </w:r>
      <w:r>
        <w:rPr>
          <w:sz w:val="20"/>
        </w:rPr>
        <w:t>, that, excluded from the foregoing in all cases are such conflicts, defaults, terminations, amendments, accelerations, cancellations and violations as would not, individually or in the aggregate, have a Material Adverse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(p) </w:t>
      </w:r>
      <w:r>
        <w:rPr>
          <w:sz w:val="20"/>
          <w:u w:val="single"/>
        </w:rPr>
        <w:t>Taxes</w:t>
      </w:r>
      <w:r>
        <w:rPr>
          <w:sz w:val="20"/>
        </w:rPr>
        <w:t>. Each of the Company, the Subsidiaries and the PRC Operating Entities, to the extent its applicable, has accurately prepared and filed all federal, state and other tax returns required by law to be filed by it, has paid or made provisions for the payment of all taxes shown to be due and all additional assessments, and adequate provisions have been and are reflected in the consolidated financial statements of the Company for all current taxes and other charges to which the Company, the Subsidiaries or the PRC Operating Entities, if any, is subject and which are not currently due and payable. None of the federal income tax returns of the Company have been audited by the Internal Revenue Service. The Company has no knowledge of any additional assessments, adjustments or contingent tax liability (whether federal, state or foreign) of any nature whatsoever, whether pending or threatened against the Company or any subsidiary for any period, nor of any basis for any such assessment, adjustment or contingency.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(q) </w:t>
      </w:r>
      <w:r>
        <w:rPr>
          <w:sz w:val="20"/>
          <w:u w:val="single"/>
        </w:rPr>
        <w:t>Certain Fees</w:t>
      </w:r>
      <w:r>
        <w:rPr>
          <w:sz w:val="20"/>
        </w:rPr>
        <w:t>. No brokers fees, finder’s fees or financial advisory fees or commissions will be payable by the Company with respect to the transactions contemplated by this Agreement and the other Transaction Documents.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(r) </w:t>
      </w:r>
      <w:r>
        <w:rPr>
          <w:sz w:val="20"/>
          <w:u w:val="single"/>
        </w:rPr>
        <w:t>Disclosure</w:t>
      </w:r>
      <w:r>
        <w:rPr>
          <w:sz w:val="20"/>
        </w:rPr>
        <w:t>. Neither this Agreement nor any other documents, certificates or instruments furnished to the Purchaser by or on behalf of the Company, the Subsidiaries or the PRC Operating Entities in connection with the transactions contemplated by this Agreement contain any untrue statement of a material fact or omit to state a material fact necessary in order to make the statements made herein or therein, taken as a whole and in the light of the circumstances under which they were made herein or therein, not false or misleading.</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(s) </w:t>
      </w:r>
      <w:r>
        <w:rPr>
          <w:sz w:val="20"/>
          <w:u w:val="single"/>
        </w:rPr>
        <w:t>Intellectual Property</w:t>
      </w:r>
      <w:r>
        <w:rPr>
          <w:sz w:val="20"/>
        </w:rPr>
        <w:t>. Each of the Company, the Subsidiaries and the PRC Operating Entities, owns or has the lawful right to use all patents, trademarks, domain names (whether or not registered) and any patentable improvements or copyrightable derivative works thereof, websites and intellectual property rights relating thereto, service marks, trade names, copyrights, licenses and authorizations, if any, and all rights with respect to the foregoing, if any, which are necessary for the conduct of their respective business as now conducted without any conflict with the rights of others, except where the failure to so own or possess would not have a Material Adverse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(t) </w:t>
      </w:r>
      <w:r>
        <w:rPr>
          <w:sz w:val="20"/>
          <w:u w:val="single"/>
        </w:rPr>
        <w:t>Books and Record Internal Accounting Controls</w:t>
      </w:r>
      <w:r>
        <w:rPr>
          <w:sz w:val="20"/>
        </w:rPr>
        <w:t>. Except as may have otherwise been disclosed in the Commission Documents, the books and records of the Company, the Subsidiaries and the PRC Operating Entities accurately reflect in all material respects the information relating to the business of the Company, the Subsidiaries and the PRC Operating Entities, the location and collection of their assets, and the nature of all transactions giving rise to the obligations or accounts receivable of the Company, the Subsidiaries or the PRC Operating Entities. Except as disclosed in the Commission Documents, the Company, the Subsidiaries and the PRC Operating Entities maintain a system of internal accounting controls sufficient, in the judgment of the Company,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actions are taken with respect to any differences.</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1440"/>
        <w:jc w:val="both"/>
        <w:rPr>
          <w:sz w:val="20"/>
        </w:rPr>
      </w:pPr>
      <w:r>
        <w:rPr>
          <w:sz w:val="20"/>
        </w:rPr>
        <w:t xml:space="preserve">(u) </w:t>
      </w:r>
      <w:r>
        <w:rPr>
          <w:sz w:val="20"/>
          <w:u w:val="single"/>
        </w:rPr>
        <w:t>Material Agreements</w:t>
      </w:r>
      <w:r>
        <w:rPr>
          <w:sz w:val="20"/>
        </w:rPr>
        <w:t>. Any and all written or oral contracts, instruments, agreements, commitments, obligations, plans or arrangements, the Company, the Subsidiaries and the PRC Operating Entities is a party to, that a copy of which would be required to be filed with the Commission as an exhibit to a registration statement on Form S-1 (collectively, the “</w:t>
      </w:r>
      <w:r>
        <w:rPr>
          <w:sz w:val="20"/>
          <w:u w:val="single"/>
        </w:rPr>
        <w:t>Material Agreements</w:t>
      </w:r>
      <w:r>
        <w:rPr>
          <w:sz w:val="20"/>
        </w:rPr>
        <w:t>”) if the Company or any subsidiary were registering securities under the Securities Act has previously been publicly filed with the Commission in the Commission Documents. Each of the Company, the Subsidiaries and the PRC Operating Entities has in all material respects performed all the obligations required to be performed by them to date under the foregoing agreements, have received no notice of default and are not in default under any Material Agreement now in effect the result of which would cause a Material Adverse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(v) </w:t>
      </w:r>
      <w:r>
        <w:rPr>
          <w:sz w:val="20"/>
          <w:u w:val="single"/>
        </w:rPr>
        <w:t>Transactions with Affiliates</w:t>
      </w:r>
      <w:r>
        <w:rPr>
          <w:sz w:val="20"/>
        </w:rPr>
        <w:t>. Except as set forth in the Financial Statements or in the Commission Documents, there are no loans, leases, agreements, contracts, royalty agreements, management contracts or arrangements or other continuing transactions between (a) the Company or any Subsidiary on the one hand, and (b) on the other hand, any officer, employee, consultant or director of the Company, or any of Subsidiaries, or any person owning any capital stock of the Company or any Subsidiary or any member of the immediate family of such officer, employee, consultant, director or stockholder or any corporation or other entity controlled by such officer, employee, consultant, director or stockholder, or a member of the immediate family of such officer, employee, consultant, director or stockholder.</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(w) </w:t>
      </w:r>
      <w:r>
        <w:rPr>
          <w:sz w:val="20"/>
          <w:u w:val="single"/>
        </w:rPr>
        <w:t>Securities Act of 1933</w:t>
      </w:r>
      <w:r>
        <w:rPr>
          <w:sz w:val="20"/>
        </w:rPr>
        <w:t>. Assuming the accuracy of the representations of the Purchaser set forth in Section 2.2 hereof, the Company has complied and will comply with all applicable federal and state securities laws in connection with the offer, issuance and sale of the Shares hereunder. Neither the Company nor anyone acting on its behalf, directly or indirectly, has or will sell, offer to sell or solicit offers to buy any of the Shares, or solicit offers with respect thereto from, or enter into any preliminary conversations or negotiations relating thereto with, any person, or has taken or will take any action so as to bring the issuance and sale of any of the Shares in violation of the registration provisions of the Securities Act and applicable state securities laws, and neither the Company nor any of its affiliates, nor any person acting on its or their behalf, has engaged in any form of general solicitation or general advertising (within the meaning of Regulation D under the Securities Act) in connection with the offer or sale of any of the Shares.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(x) </w:t>
      </w:r>
      <w:r>
        <w:rPr>
          <w:sz w:val="20"/>
          <w:u w:val="single"/>
        </w:rPr>
        <w:t>Governmental Approvals</w:t>
      </w:r>
      <w:r>
        <w:rPr>
          <w:sz w:val="20"/>
        </w:rPr>
        <w:t>. Except for the filing of any notice prior or subsequent to the Closing Date that may be required under applicable state and/or Federal securities laws (which if required, shall be filed on a timely basis), no authorization, consent, approval, license, exemption of, filing or registration with any court or governmental department, commission, board, bureau, agency or instrumentality, domestic or foreign, is or will be necessary for, or in connection with, the execution or delivery of the Shares, or for the performance by the Company of its obligations under the Transaction Documents.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(y) </w:t>
      </w:r>
      <w:r>
        <w:rPr>
          <w:sz w:val="20"/>
          <w:u w:val="single"/>
        </w:rPr>
        <w:t>Employees</w:t>
      </w:r>
      <w:r>
        <w:rPr>
          <w:sz w:val="20"/>
        </w:rPr>
        <w:t>. Except as disclosed in the Commission Documents, neither the Company nor any subsidiary has any collective bargaining arrangements covering any of its employees. Since 8 May, 2025, no officer, consultant or key employee of the Company or any subsidiary whose termination, either individually or in the aggregate, would have a Material Adverse Effect, has terminated or, to the knowledge of the Company, has any present intention of terminating his or her employment or engagement with the Company or any subsidiary.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(z) </w:t>
      </w:r>
      <w:r>
        <w:rPr>
          <w:sz w:val="20"/>
          <w:u w:val="single"/>
        </w:rPr>
        <w:t>Public Utility Holding Company Act; Investment Company Act and U.S. Real Property Holding Corporation Status</w:t>
      </w:r>
      <w:r>
        <w:rPr>
          <w:sz w:val="20"/>
        </w:rPr>
        <w:t>. The Company is not a “holding company” or a “public utility company” as such terms are defined in the Public Utility Holding Company Act of 1935, as amended. The Company is not, and as a result of and immediately upon the Closing will not be, an “investment company” or a company “controlled” by an “investment company,” within the meaning of the Investment Company Act of 1940, as amended. The Company is not and has never been a U.S. real property holding corporation within the meaning of Section 897 of the Internal Revenue Code of 1986, as amended.</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(aa) </w:t>
      </w:r>
      <w:r>
        <w:rPr>
          <w:sz w:val="20"/>
          <w:u w:val="single"/>
        </w:rPr>
        <w:t>ERISA</w:t>
      </w:r>
      <w:r>
        <w:rPr>
          <w:sz w:val="20"/>
        </w:rPr>
        <w:t>. No liability to the Pension Benefit Guaranty Corporation has been incurred with respect to any Plan (as defined below) by the Company or any of its subsidiaries which is or would be materially adverse to the Company and its subsidiaries. The execution and delivery of this Agreement and the other Transaction Documents and the issuance and sale of the Shares will not involve any transaction which is subject to the prohibitions of Section 406 of ERISA or in connection with which a tax could be imposed pursuant to Section 4975 of the Internal Revenue Code of 1986, as amended, provided, that, if the Purchaser, or any person or entity that owns a beneficial interest in the Purchaser, is an “employee pension benefit plan” (within the meaning of Section 3(2) of ERISA) with respect to which the Company is a “party in interest” (within the meaning of Section 3(14) of ERISA), the requirements of Sections 407(d)(5) and 408(e) of ERISA, if applicable, are met. As used in this Section 2.1(bb), the term “</w:t>
      </w:r>
      <w:r>
        <w:rPr>
          <w:sz w:val="20"/>
          <w:u w:val="single"/>
        </w:rPr>
        <w:t>Plan</w:t>
      </w:r>
      <w:r>
        <w:rPr>
          <w:sz w:val="20"/>
        </w:rPr>
        <w:t>” shall mean an “employee pension benefit plan” (as defined in Section 3 of ERISA) which is or has been established or maintained, or to which contributions are or have been made, by the Company or any subsidiary or by any trade or business, whether or not incorporated, which, together with the Company or any subsidiary, is under common control, as described in Section 414(b) or (c) of the Code.</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(bb) </w:t>
      </w:r>
      <w:r>
        <w:rPr>
          <w:sz w:val="20"/>
          <w:u w:val="single"/>
        </w:rPr>
        <w:t>Sarbanes-Oxley Act.</w:t>
      </w:r>
      <w:r>
        <w:rPr>
          <w:sz w:val="20"/>
        </w:rPr>
        <w:t xml:space="preserve"> The Company is in compliance with the applicable provisions of the Sarbanes-Oxley Act of 2002 (the “</w:t>
      </w:r>
      <w:r>
        <w:rPr>
          <w:sz w:val="20"/>
          <w:u w:val="single"/>
        </w:rPr>
        <w:t>Sarbanes-Oxley Act</w:t>
      </w:r>
      <w:r>
        <w:rPr>
          <w:sz w:val="20"/>
        </w:rPr>
        <w:t>”), and the rules and regulations promulgated thereunder, that are effective and for which compliance by the Company is required as of the date hereof.</w:t>
      </w:r>
    </w:p>
    <w:p>
      <w:pPr>
        <w:pStyle w:val="TextBody"/>
        <w:bidi w:val="0"/>
        <w:spacing w:before="0" w:after="0"/>
        <w:ind w:left="0" w:right="0" w:firstLine="1440"/>
        <w:jc w:val="both"/>
        <w:rPr/>
      </w:pPr>
      <w:r>
        <w:rPr/>
        <w:t> </w:t>
      </w:r>
    </w:p>
    <w:p>
      <w:pPr>
        <w:pStyle w:val="TextBody"/>
        <w:bidi w:val="0"/>
        <w:spacing w:before="0" w:after="0"/>
        <w:ind w:left="0" w:right="0" w:firstLine="1440"/>
        <w:jc w:val="left"/>
        <w:rPr>
          <w:sz w:val="20"/>
        </w:rPr>
      </w:pPr>
      <w:r>
        <w:rPr>
          <w:sz w:val="20"/>
        </w:rPr>
        <w:t xml:space="preserve">(cc) </w:t>
      </w:r>
      <w:r>
        <w:rPr>
          <w:sz w:val="20"/>
          <w:u w:val="single"/>
        </w:rPr>
        <w:t>Additional PRC Representations and Warranties</w:t>
      </w:r>
      <w:r>
        <w:rPr>
          <w:sz w:val="20"/>
        </w:rPr>
        <w:t>.</w:t>
      </w:r>
    </w:p>
    <w:p>
      <w:pPr>
        <w:pStyle w:val="TextBody"/>
        <w:bidi w:val="0"/>
        <w:spacing w:before="0" w:after="0"/>
        <w:ind w:left="0" w:right="0" w:firstLine="1440"/>
        <w:jc w:val="left"/>
        <w:rPr/>
      </w:pPr>
      <w:r>
        <w:rPr/>
        <w:t> </w:t>
      </w:r>
    </w:p>
    <w:p>
      <w:pPr>
        <w:pStyle w:val="TextBody"/>
        <w:bidi w:val="0"/>
        <w:spacing w:before="0" w:after="0"/>
        <w:ind w:left="0" w:right="0" w:firstLine="2160"/>
        <w:jc w:val="both"/>
        <w:rPr>
          <w:sz w:val="20"/>
        </w:rPr>
      </w:pPr>
      <w:r>
        <w:rPr>
          <w:sz w:val="20"/>
        </w:rPr>
        <w:t>(i) All material consents, approvals, authorizations or licenses requisite under PRC law for the due and proper establishment and operation of the PRC Operating Entities have been duly obtained from the relevant PRC governmental authorities and are in full force and effect.</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(ii) All filings and registrations with the PRC governmental authorities required in respect of the PRC Operating Entities and their capital structure and operations including, without limitation, to the extent applicable, tax bureau and customs authorities, have been duly completed in accordance with the relevant PRC rules and regulations, except where the failure to complete such filings and registrations does not, and would not, individually or in the aggregate, have a Material Adverse Effect.</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(iii) Neither the Company, the Subsidiaries, nor any PRC Operating Entity or affiliated entity is in receipt of any letter or notice from any relevant PRC governmental or quasi-governmental authority notifying it of the revocation, or otherwise questioning the validity, of any licenses or qualifications issued to it or any subsidy granted to it by any PRC governmental authority, or the need for compliance or remedial actions in respect of the activities carried out by the Company or such subsidiary.</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(iv) The PRC Operating Entities have conducted their respective business activities within their permitted scope of business or have otherwise operated their respective businesses in compliance with all relevant legal requirements and with all requisite licenses and approvals granted by competent PRC governmental authorities other than such non-compliance that do not, and would not, individually or in the aggregate, have a Material Adverse Effect. As to licenses, approvals and government grants and concessions requisite or material for the conduct of any part of the PRC Operating Entities’ business which is subject to periodic renewal, neither the Company, the Subsidiaries, nor any PRC Operating Entity has any knowledge of any grounds on which such requisite renewals will not be granted by the relevant PRC governmental authorities.</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(v) The PRC Operating Entities have complied with all applicable PRC laws and regulations in all material respects, including without limitation, laws and regulations pertaining to welfare fund contributions, social benefits, medical benefits, insurance, retirement benefits, pensions or the like.</w:t>
      </w:r>
    </w:p>
    <w:p>
      <w:pPr>
        <w:pStyle w:val="TextBody"/>
        <w:bidi w:val="0"/>
        <w:spacing w:before="0" w:after="0"/>
        <w:ind w:left="0" w:right="0" w:firstLine="2160"/>
        <w:jc w:val="both"/>
        <w:rPr/>
      </w:pPr>
      <w:r>
        <w:rPr/>
        <w:t> </w:t>
      </w:r>
    </w:p>
    <w:p>
      <w:pPr>
        <w:pStyle w:val="TextBody"/>
        <w:bidi w:val="0"/>
        <w:spacing w:before="0" w:after="0"/>
        <w:ind w:left="0" w:right="0" w:firstLine="1440"/>
        <w:jc w:val="both"/>
        <w:rPr>
          <w:sz w:val="20"/>
        </w:rPr>
      </w:pPr>
      <w:r>
        <w:rPr>
          <w:sz w:val="20"/>
        </w:rPr>
        <w:t xml:space="preserve">(dd) </w:t>
      </w:r>
      <w:r>
        <w:rPr>
          <w:sz w:val="20"/>
          <w:u w:val="single"/>
        </w:rPr>
        <w:t>No Additional Agreements</w:t>
      </w:r>
      <w:r>
        <w:rPr>
          <w:sz w:val="20"/>
        </w:rPr>
        <w:t>. Neither the Company nor any of its affiliates has any agreement or understanding with the Purchaser with respect to the transactions contemplated by the Transaction Documents other than as specified in the Transaction Documents.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(ee) </w:t>
      </w:r>
      <w:r>
        <w:rPr>
          <w:sz w:val="20"/>
          <w:u w:val="single"/>
        </w:rPr>
        <w:t>Foreign Corrupt Practices Act</w:t>
      </w:r>
      <w:r>
        <w:rPr>
          <w:sz w:val="20"/>
        </w:rPr>
        <w:t>. Neither the Company, the Subsidiaries, the PRC Operating Entities, nor to the knowledge of the Company, the Subsidiaries, the PRC Operating Entities any agent or other person acting on behalf of the Company, the Subsidiaries or the PRC Operating Entities, has, directly or indirectly, (i) used any funds, or will use any proceeds from the sale of the Shares,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of the Company (or made by any Person acting on their behalf of which the Company is aware) or any members of their respective management which is in violation of any applicable law, or (iv) has violated in any material respect any provision of the Foreign Corrupt Practices Act of 1977, as amended, and the rules and regulations thereunder which was applicable to the Company or any of its subsidiaries.</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1440"/>
        <w:jc w:val="both"/>
        <w:rPr>
          <w:sz w:val="20"/>
        </w:rPr>
      </w:pPr>
      <w:r>
        <w:rPr>
          <w:sz w:val="20"/>
        </w:rPr>
        <w:t xml:space="preserve">(ff) </w:t>
      </w:r>
      <w:r>
        <w:rPr>
          <w:sz w:val="20"/>
          <w:u w:val="single"/>
        </w:rPr>
        <w:t>PFIC</w:t>
      </w:r>
      <w:r>
        <w:rPr>
          <w:sz w:val="20"/>
        </w:rPr>
        <w:t>. None of the Company or any of its Subsidiaries is or intends to become a “passive foreign investment company” within the meaning of Section 1297 of the U.S. Internal Revenue Code of 1986, as amended.</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(gg) </w:t>
      </w:r>
      <w:r>
        <w:rPr>
          <w:sz w:val="20"/>
          <w:u w:val="single"/>
        </w:rPr>
        <w:t>OFAC</w:t>
      </w:r>
      <w:r>
        <w:rPr>
          <w:sz w:val="20"/>
        </w:rPr>
        <w:t>. None of the Company or any of its Subsidiaries nor, to the knowledge of the Company, any director, officer, agent, employee, affiliate or person acting on behalf of any of the Company or any of its Subsidiaries, is currently subject to any U.S. sanctions administered by the Office of Foreign Assets Control of the U.S. Treasury Department (“</w:t>
      </w:r>
      <w:r>
        <w:rPr>
          <w:sz w:val="20"/>
          <w:u w:val="single"/>
        </w:rPr>
        <w:t>OFAC</w:t>
      </w:r>
      <w:r>
        <w:rPr>
          <w:sz w:val="20"/>
        </w:rPr>
        <w:t>”); and the Company will not directly or indirectly use the proceeds of the sale of the Shares, or lend, contribute or otherwise make available such proceeds to any subsidiary of the Company, joint venture partner or other Person or entity, towards any sales or operations in Cuba, Iran, Syria, Sudan, Myanmar or any other country sanctioned by OFAC or for the purpose of financing the activities of any Person currently subject to any U.S. sanctions administered by OFAC.</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(hh) </w:t>
      </w:r>
      <w:r>
        <w:rPr>
          <w:sz w:val="20"/>
          <w:u w:val="single"/>
        </w:rPr>
        <w:t>Money Laundering Laws</w:t>
      </w:r>
      <w:r>
        <w:rPr>
          <w:sz w:val="20"/>
        </w:rPr>
        <w:t>. The operations of each of the Company, the Subsidiaries and the PRC Operating Entities have been conducted at all times in compliance with the money laundering requirements of all applicable governmental authorities and any related or similar rules, regulations or guidelines, issued, administered or enforced by any governmental authority (collectively, the “Money Laundering Laws”) and no action, suit or proceeding by or before any court or governmental authority or any arbitrator involving any of the Company, the Subsidiaries or the PRC Operating Entities with respect to the Money Laundering Laws is pending or, to the best knowledge of the Company, threatened.</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sz w:val="20"/>
        </w:rPr>
        <w:t xml:space="preserve">Section 2.2 </w:t>
      </w:r>
      <w:r>
        <w:rPr>
          <w:sz w:val="20"/>
          <w:u w:val="single"/>
        </w:rPr>
        <w:t>Representations and Warranties of the Purchaser</w:t>
      </w:r>
      <w:r>
        <w:rPr>
          <w:sz w:val="20"/>
        </w:rPr>
        <w:t>. The Purchaser hereby makes the following representations and warranties to the Company as of the date hereof:</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 xml:space="preserve">(a) </w:t>
      </w:r>
      <w:r>
        <w:rPr>
          <w:sz w:val="20"/>
          <w:u w:val="single"/>
        </w:rPr>
        <w:t>Organization and Good Standing of the Purchaser</w:t>
      </w:r>
      <w:r>
        <w:rPr>
          <w:sz w:val="20"/>
        </w:rPr>
        <w:t>. If the Purchaser is an entity, the Purchaser is a corporation, partnership or limited liability company duly incorporated or organized, validly existing and in good standing under the laws of the jurisdiction of its incorporation or organization.</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(b) </w:t>
      </w:r>
      <w:r>
        <w:rPr>
          <w:sz w:val="20"/>
          <w:u w:val="single"/>
        </w:rPr>
        <w:t>Authorization and Power</w:t>
      </w:r>
      <w:r>
        <w:rPr>
          <w:sz w:val="20"/>
        </w:rPr>
        <w:t>. The Purchaser has the requisite power and authority to enter into and perform this Agreement and each of the other Transaction Documents to which the Purchaser is a party and to purchase the Shares being sold to it hereunder. The execution, delivery and performance of this Agreement and each of the other Transaction Documents to which the Purchaser is a party and the consummation by it of the transactions contemplated hereby have been duly authorized by all necessary corporate, partnership or limited liability company action, and no further consent or authorization of the Purchaser or its Board of Directors, stockholders, partners, members, or managers, as the case may be, is required. This Agreement and each of the other Transaction Documents to which the Purchaser is a party has been duly authorized, executed and delivered by the Purchaser and constitutes, or shall constitute when executed and delivered, a valid and binding obligation of the Purchaser enforceable against the Purchaser in accordance with the terms hereof.</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(c) </w:t>
      </w:r>
      <w:r>
        <w:rPr>
          <w:sz w:val="20"/>
          <w:u w:val="single"/>
        </w:rPr>
        <w:t>No Conflicts</w:t>
      </w:r>
      <w:r>
        <w:rPr>
          <w:sz w:val="20"/>
        </w:rPr>
        <w:t>. The execution, delivery and performance of this Agreement and each of the other Transaction Documents to which the Purchaser is a party and the consummation by the Purchaser of the transactions contemplated hereby and thereby or related hereto do not and will not (i) result in a violation of the Purchaser’s charter documents, bylaws, operating agreement, partnership agreement or other organizational documents or (ii) conflict with, or constitute a default (or an event which with notice or lapse of time or both would become a default) under, or give to others any rights of termination, amendment, acceleration or cancellation of any agreement, indenture or instrument or obligation to which the Purchaser is a party or by which its properties or assets are bound, or result in a violation of any law, rule, or regulation, or any order, judgment or decree of any court or governmental agency applicable to the Purchaser or its properties (except for such conflicts, defaults and violations as would not, individually or in the aggregate, have a material adverse effect on such Purchaser). The Purchaser is not required to obtain any consent, authorization or order of, or make any filing or registration with, any court or governmental agency in order for it to execute, deliver or perform any of its obligations under this Agreement or any other Transaction Document to which the Purchaser is a party or to purchase the Shares in accordance with the terms hereof, provided, that for purposes of the representation made in this sentence, the Purchaser is assuming and relying upon the accuracy of the relevant representations and agreements of the Company herein.</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1440"/>
        <w:jc w:val="both"/>
        <w:rPr>
          <w:sz w:val="20"/>
        </w:rPr>
      </w:pPr>
      <w:r>
        <w:rPr>
          <w:sz w:val="20"/>
        </w:rPr>
        <w:t xml:space="preserve">(d) </w:t>
      </w:r>
      <w:r>
        <w:rPr>
          <w:sz w:val="20"/>
          <w:u w:val="single"/>
        </w:rPr>
        <w:t>Regulation S</w:t>
      </w:r>
      <w:r>
        <w:rPr>
          <w:sz w:val="20"/>
        </w:rPr>
        <w:t>. The Purchaser is a “non-US person” as defined in Regulation S and shall purchase the Shares in compliance with Regulation 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(e) </w:t>
      </w:r>
      <w:r>
        <w:rPr>
          <w:sz w:val="20"/>
          <w:u w:val="single"/>
        </w:rPr>
        <w:t>Acquisition for Investment</w:t>
      </w:r>
      <w:r>
        <w:rPr>
          <w:sz w:val="20"/>
        </w:rPr>
        <w:t>. The Purchaser is acquiring the Shares solely for its own account for the purpose of investment and not with a view to or for sale in connection with a distribution. The Purchaser does not have a present intention to sell the Shares, nor a present arrangement (whether or not legally binding) or intention to effect any distribution of the Shares to or through any person or entity. The Purchaser acknowledges that it is able to bear the financial risks associated with an investment in the Shares and that it has been given full access to such records of the Company, the Subsidiaries and the PRC Operating Entities and to the officers of the Company, the Subsidiaries and the PRC Operating Entities and received such information as it has deemed necessary or appropriate to conduct its due diligence investigation and has sufficient knowledge and experience in investing in companies similar to the Company in terms of the Company’s stage of development so as to be able to evaluate the risks and merits of its investment in the Company. The Purchaser further acknowledges that it understands the risks of investing in companies domiciled and/or which operate primarily in the PRC and that the purchase of the Shares involves substantial risks.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(f) </w:t>
      </w:r>
      <w:r>
        <w:rPr>
          <w:sz w:val="20"/>
          <w:u w:val="single"/>
        </w:rPr>
        <w:t>Opportunities for Additional Information</w:t>
      </w:r>
      <w:r>
        <w:rPr>
          <w:sz w:val="20"/>
        </w:rPr>
        <w:t>. The Purchaser acknowledges that it has had the opportunity to ask questions of and receive answers from, or obtain additional information from, the executive officers of the Company concerning the financial and other affairs of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(g) </w:t>
      </w:r>
      <w:r>
        <w:rPr>
          <w:sz w:val="20"/>
          <w:u w:val="single"/>
        </w:rPr>
        <w:t>No General Solicitation</w:t>
      </w:r>
      <w:r>
        <w:rPr>
          <w:sz w:val="20"/>
        </w:rPr>
        <w:t>. The Purchaser acknowledges that the Shares were not offered to the Purchaser by means of any form of general or public solicitation or general advertising, or publicly disseminated advertisements or sales literature, including (i) any advertisement, article, notice or other communication published in any newspaper, magazine, or similar media, or broadcast over television or radio, or (ii) any seminar or meeting to which the Purchaser was invited by any of the foregoing means of communications.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(h) </w:t>
      </w:r>
      <w:r>
        <w:rPr>
          <w:sz w:val="20"/>
          <w:u w:val="single"/>
        </w:rPr>
        <w:t>Rule 144</w:t>
      </w:r>
      <w:r>
        <w:rPr>
          <w:sz w:val="20"/>
        </w:rPr>
        <w:t>. The Purchaser understands that the Shares must be held indefinitely unless such Shares are registered under the Securities Act or an exemption from registration is available. The Purchaser acknowledges that the Purchaser is familiar with Rule 144, of the rules and regulations of the Commission, as amended, promulgated pursuant to the Securities Act (“</w:t>
      </w:r>
      <w:r>
        <w:rPr>
          <w:sz w:val="20"/>
          <w:u w:val="single"/>
        </w:rPr>
        <w:t>Rule 144</w:t>
      </w:r>
      <w:r>
        <w:rPr>
          <w:sz w:val="20"/>
        </w:rPr>
        <w:t>”), and that such person has been advised that Rule 144 permits resales only under certain circumstances. The Purchaser understands that to the extent that Rule 144 is not available, the Purchaser will be unable to sell any Shares without either registration under the Securities Act or the existence of another exemption from such registration requirement.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(i) </w:t>
      </w:r>
      <w:r>
        <w:rPr>
          <w:sz w:val="20"/>
          <w:u w:val="single"/>
        </w:rPr>
        <w:t>General</w:t>
      </w:r>
      <w:r>
        <w:rPr>
          <w:sz w:val="20"/>
        </w:rPr>
        <w:t>. The Purchaser understands that the Shares are being offered and sold in reliance on a transactional exemption from the registration requirements of Federal and state securities laws and the Company is relying upon the truth and accuracy of the representations, warranties, agreements, acknowledgments and understandings of the Purchaser set forth herein in order to determine the applicability of such exemptions and the suitability of the Purchaser to acquire the Shares.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(j) </w:t>
      </w:r>
      <w:r>
        <w:rPr>
          <w:sz w:val="20"/>
          <w:u w:val="single"/>
        </w:rPr>
        <w:t>Brokers</w:t>
      </w:r>
      <w:r>
        <w:rPr>
          <w:sz w:val="20"/>
        </w:rPr>
        <w:t>. No Purchaser has any knowledge of any brokerage or finder’s fees or commissions that are or will be payable by the Company to any broker, financial advisor or consultant, finder, placement agent, investment banker, bank or other person or entity with respect to the transactions contemplated by this Agreement.</w:t>
      </w:r>
    </w:p>
    <w:p>
      <w:pPr>
        <w:pStyle w:val="TextBody"/>
        <w:bidi w:val="0"/>
        <w:spacing w:before="0" w:after="0"/>
        <w:ind w:left="0" w:right="0" w:firstLine="1440"/>
        <w:jc w:val="both"/>
        <w:rPr/>
      </w:pPr>
      <w:r>
        <w:rPr/>
        <w:t> </w:t>
      </w:r>
    </w:p>
    <w:p>
      <w:pPr>
        <w:pStyle w:val="TextBody"/>
        <w:bidi w:val="0"/>
        <w:spacing w:before="0" w:after="0"/>
        <w:ind w:left="0" w:right="0" w:hanging="0"/>
        <w:jc w:val="center"/>
        <w:rPr>
          <w:b/>
          <w:sz w:val="20"/>
        </w:rPr>
      </w:pPr>
      <w:r>
        <w:rPr>
          <w:b/>
          <w:sz w:val="20"/>
        </w:rPr>
        <w:t>ARTICLE III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Covenants</w:t>
      </w:r>
    </w:p>
    <w:p>
      <w:pPr>
        <w:pStyle w:val="TextBody"/>
        <w:bidi w:val="0"/>
        <w:spacing w:before="0" w:after="0"/>
        <w:ind w:left="0" w:right="0" w:hanging="0"/>
        <w:jc w:val="center"/>
        <w:rPr/>
      </w:pPr>
      <w:r>
        <w:rPr/>
        <w:t> </w:t>
      </w:r>
    </w:p>
    <w:p>
      <w:pPr>
        <w:pStyle w:val="TextBody"/>
        <w:bidi w:val="0"/>
        <w:spacing w:before="0" w:after="0"/>
        <w:ind w:left="0" w:right="0" w:firstLine="720"/>
        <w:jc w:val="left"/>
        <w:rPr>
          <w:sz w:val="20"/>
        </w:rPr>
      </w:pPr>
      <w:r>
        <w:rPr>
          <w:sz w:val="20"/>
        </w:rPr>
        <w:t>The Company covenants with the Purchaser as follows:</w:t>
      </w:r>
    </w:p>
    <w:p>
      <w:pPr>
        <w:pStyle w:val="TextBody"/>
        <w:bidi w:val="0"/>
        <w:spacing w:before="0" w:after="0"/>
        <w:ind w:left="0" w:right="0" w:firstLine="720"/>
        <w:jc w:val="left"/>
        <w:rPr/>
      </w:pPr>
      <w:r>
        <w:rPr/>
        <w:t> </w:t>
      </w:r>
    </w:p>
    <w:p>
      <w:pPr>
        <w:pStyle w:val="TextBody"/>
        <w:bidi w:val="0"/>
        <w:spacing w:before="0" w:after="0"/>
        <w:ind w:left="0" w:right="0" w:firstLine="720"/>
        <w:jc w:val="both"/>
        <w:rPr>
          <w:sz w:val="20"/>
        </w:rPr>
      </w:pPr>
      <w:r>
        <w:rPr>
          <w:sz w:val="20"/>
        </w:rPr>
        <w:t xml:space="preserve">Section 3.1 </w:t>
      </w:r>
      <w:r>
        <w:rPr>
          <w:sz w:val="20"/>
          <w:u w:val="single"/>
        </w:rPr>
        <w:t>Securities Compliance</w:t>
      </w:r>
      <w:r>
        <w:rPr>
          <w:sz w:val="20"/>
        </w:rPr>
        <w:t>. The Company shall notify the Commission in accordance with its rules and regulations, of the transactions contemplated by any of the Transaction Documents and shall take all other necessary action and proceedings as may be required and permitted by applicable law, rule and regulation, for the legal and valid issuance of the Shares.</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Section 3.2</w:t>
      </w:r>
      <w:r>
        <w:rPr>
          <w:sz w:val="20"/>
          <w:u w:val="single"/>
        </w:rPr>
        <w:t xml:space="preserve"> Compliance with Laws</w:t>
      </w:r>
      <w:r>
        <w:rPr>
          <w:sz w:val="20"/>
        </w:rPr>
        <w:t>. The Company shall comply, and cause each Subsidiary to comply in all material respects, with all applicable laws, rules, regulations and orders.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3.3 </w:t>
      </w:r>
      <w:r>
        <w:rPr>
          <w:sz w:val="20"/>
          <w:u w:val="single"/>
        </w:rPr>
        <w:t>Reporting Requirements</w:t>
      </w:r>
      <w:r>
        <w:rPr>
          <w:sz w:val="20"/>
        </w:rPr>
        <w:t>. The Company shall comply in all respects with its reporting and filing obligations under the Exchange Act.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3.4 </w:t>
      </w:r>
      <w:r>
        <w:rPr>
          <w:sz w:val="20"/>
          <w:u w:val="single"/>
        </w:rPr>
        <w:t>Other Agreements</w:t>
      </w:r>
      <w:r>
        <w:rPr>
          <w:sz w:val="20"/>
        </w:rPr>
        <w:t>. The Company shall not enter into any agreement the terms of which would restrict or impair the ability of the Company to perform its obligations under any Transaction Document.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Section 3.5</w:t>
      </w:r>
      <w:r>
        <w:rPr>
          <w:sz w:val="20"/>
          <w:u w:val="single"/>
        </w:rPr>
        <w:t xml:space="preserve"> Disclosure of Transaction</w:t>
      </w:r>
      <w:r>
        <w:rPr>
          <w:sz w:val="20"/>
        </w:rPr>
        <w:t>. The Company shall file with the Commission, the Form 8-K describing the material terms of the transactions contemplated hereby within four (4) Business Days following the Closing Date.</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ARTICLE IV</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CONDITIONS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4.1 </w:t>
      </w:r>
      <w:r>
        <w:rPr>
          <w:sz w:val="20"/>
          <w:u w:val="single"/>
        </w:rPr>
        <w:t>Conditions Precedent to the Obligation of the Company to Sell the Shares</w:t>
      </w:r>
      <w:r>
        <w:rPr>
          <w:sz w:val="20"/>
        </w:rPr>
        <w:t>. The obligation hereunder of the Company to issue and sell the Shares to the Purchaser is subject to the satisfaction or waiver, at or before the Closing, of each of the conditions set forth below. These conditions are for the Company’s sole benefit and may be waived by the Company at any time in its sole discretion.</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 xml:space="preserve">(a) </w:t>
      </w:r>
      <w:r>
        <w:rPr>
          <w:sz w:val="20"/>
          <w:u w:val="single"/>
        </w:rPr>
        <w:t>Accuracy of the Purchaser’s Representations and Warranties</w:t>
      </w:r>
      <w:r>
        <w:rPr>
          <w:sz w:val="20"/>
        </w:rPr>
        <w:t>. The representations and warranties of the Purchaser in this Agreement and each of the other Transaction Documents to which the Purchaser is a party shall be true and correct in all material respects as of the date when made and as of the Closing Date as though made at that time, except for representations and warranties that are expressly made as of a particular date, which shall be true and correct in all material respects as of such date.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(b) </w:t>
      </w:r>
      <w:r>
        <w:rPr>
          <w:sz w:val="20"/>
          <w:u w:val="single"/>
        </w:rPr>
        <w:t>Performance by the Purchaser</w:t>
      </w:r>
      <w:r>
        <w:rPr>
          <w:sz w:val="20"/>
        </w:rPr>
        <w:t>. The Purchaser shall have performed, satisfied and complied in all respects with all covenants, agreements and conditions required by this Agreement to be performed, satisfied or complied with by such Purchaser at or prior to the Closing.</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(c) </w:t>
      </w:r>
      <w:r>
        <w:rPr>
          <w:sz w:val="20"/>
          <w:u w:val="single"/>
        </w:rPr>
        <w:t>No Injunction</w:t>
      </w:r>
      <w:r>
        <w:rPr>
          <w:sz w:val="20"/>
        </w:rPr>
        <w:t>. No statute, rule, regulation, executive order, decree, ruling or injunction shall have been enacted, entered, promulgated or endorsed by any court or governmental authority of competent jurisdiction which prohibits the consummation of any of the transactions contemplated by this Agreement.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(d) </w:t>
      </w:r>
      <w:r>
        <w:rPr>
          <w:sz w:val="20"/>
          <w:u w:val="single"/>
        </w:rPr>
        <w:t>Delivery of Purchase Price</w:t>
      </w:r>
      <w:r>
        <w:rPr>
          <w:sz w:val="20"/>
        </w:rPr>
        <w:t>. The Purchase Price for the Shares shall have been delivered to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(e) </w:t>
      </w:r>
      <w:r>
        <w:rPr>
          <w:sz w:val="20"/>
          <w:u w:val="single"/>
        </w:rPr>
        <w:t>Delivery of Transaction Documents</w:t>
      </w:r>
      <w:r>
        <w:rPr>
          <w:sz w:val="20"/>
        </w:rPr>
        <w:t>. The Transaction Documents to which the Purchaser isa party shall have been duly executed and delivered by the Purchaser to the Company.</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sz w:val="20"/>
        </w:rPr>
        <w:t xml:space="preserve">Section 4.2 </w:t>
      </w:r>
      <w:r>
        <w:rPr>
          <w:sz w:val="20"/>
          <w:u w:val="single"/>
        </w:rPr>
        <w:t>Conditions Precedent to the Obligation of the Purchaser to Purchase the Shares</w:t>
      </w:r>
      <w:r>
        <w:rPr>
          <w:sz w:val="20"/>
        </w:rPr>
        <w:t>. The obligation hereunder of the Purchaser to purchase the Shares is subject to the satisfaction or waiver, at or before the Closing, of each of the conditions set forth below. These conditions are for the Purchaser’s sole benefit and may be waived by the Purchaser at any time in its sole discretion.</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 xml:space="preserve">(a) </w:t>
      </w:r>
      <w:r>
        <w:rPr>
          <w:sz w:val="20"/>
          <w:u w:val="single"/>
        </w:rPr>
        <w:t>Accuracy of the Company’s Representations and Warranties</w:t>
      </w:r>
      <w:r>
        <w:rPr>
          <w:sz w:val="20"/>
        </w:rPr>
        <w:t>. Each of the representations and warranties of the Company in this Agreement and the other Transaction Documents shall be true and correct in all respects as of the date when made and as of the Closing Date as though made at that time, except for representations and warranties that are expressly made as of a particular date, which shall be true and correct in all respects as of such date.</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(b) </w:t>
      </w:r>
      <w:r>
        <w:rPr>
          <w:sz w:val="20"/>
          <w:u w:val="single"/>
        </w:rPr>
        <w:t>Performance by the Company</w:t>
      </w:r>
      <w:r>
        <w:rPr>
          <w:sz w:val="20"/>
        </w:rPr>
        <w:t>. The Company shall have performed, satisfied and complied in all respects with all covenants, agreements and conditions required by this Agreement to be performed, satisfied or complied with by the Company at or prior to the Closing.</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(c) </w:t>
      </w:r>
      <w:r>
        <w:rPr>
          <w:sz w:val="20"/>
          <w:u w:val="single"/>
        </w:rPr>
        <w:t>No Injunction</w:t>
      </w:r>
      <w:r>
        <w:rPr>
          <w:sz w:val="20"/>
        </w:rPr>
        <w:t>. No statute, rule, regulation, executive order, decree, ruling or injunction shall have been enacted, entered, promulgated or endorsed by any court or governmental authority of competent jurisdiction which prohibits the consummation of any of the transactions contemplated by this Agreement.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(d) </w:t>
      </w:r>
      <w:r>
        <w:rPr>
          <w:sz w:val="20"/>
          <w:u w:val="single"/>
        </w:rPr>
        <w:t>No Proceedings or Litigation</w:t>
      </w:r>
      <w:r>
        <w:rPr>
          <w:sz w:val="20"/>
        </w:rPr>
        <w:t>. No action, suit or proceeding before any arbitrator or any governmental authority shall have been commenced, and no investigation by any governmental authority shall have been threatened, against the Company or any subsidiary, or any of the officers, directors or affiliates of the Company or any Subsidiary seeking to restrain, prevent or change the transactions contemplated by this Agreement, or seeking damages in connection with such transactions.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(e) </w:t>
      </w:r>
      <w:r>
        <w:rPr>
          <w:sz w:val="20"/>
          <w:u w:val="single"/>
        </w:rPr>
        <w:t>Stock Certificate</w:t>
      </w:r>
      <w:r>
        <w:rPr>
          <w:sz w:val="20"/>
        </w:rPr>
        <w:t>. The Company shall have executed and delivered to the Purchaser a stock certificate for the Shares.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(f) </w:t>
      </w:r>
      <w:r>
        <w:rPr>
          <w:sz w:val="20"/>
          <w:u w:val="single"/>
        </w:rPr>
        <w:t>Resolutions</w:t>
      </w:r>
      <w:r>
        <w:rPr>
          <w:sz w:val="20"/>
        </w:rPr>
        <w:t>. The Board of Directors of the Company shall have adopted resolutions authorizing the transactions contemplated by this Agreement.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(g) </w:t>
      </w:r>
      <w:r>
        <w:rPr>
          <w:sz w:val="20"/>
          <w:u w:val="single"/>
        </w:rPr>
        <w:t>Material Adverse Effect</w:t>
      </w:r>
      <w:r>
        <w:rPr>
          <w:sz w:val="20"/>
        </w:rPr>
        <w:t>. No Material Adverse Effect shall have occurred at or before the Closing Date.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(h) </w:t>
      </w:r>
      <w:r>
        <w:rPr>
          <w:sz w:val="20"/>
          <w:u w:val="single"/>
        </w:rPr>
        <w:t>Delivery of the Transaction Documents</w:t>
      </w:r>
      <w:r>
        <w:rPr>
          <w:sz w:val="20"/>
        </w:rPr>
        <w:t>. The Transaction Documents to which the Companyisa party shall have been duly executed and delivered by the Company to the Purchaser.</w:t>
      </w:r>
    </w:p>
    <w:p>
      <w:pPr>
        <w:pStyle w:val="TextBody"/>
        <w:bidi w:val="0"/>
        <w:spacing w:before="0" w:after="0"/>
        <w:ind w:left="0" w:right="0" w:firstLine="1440"/>
        <w:jc w:val="both"/>
        <w:rPr/>
      </w:pPr>
      <w:r>
        <w:rPr/>
        <w:t> </w:t>
      </w:r>
    </w:p>
    <w:p>
      <w:pPr>
        <w:pStyle w:val="TextBody"/>
        <w:bidi w:val="0"/>
        <w:spacing w:before="0" w:after="0"/>
        <w:ind w:left="0" w:right="0" w:hanging="0"/>
        <w:jc w:val="center"/>
        <w:rPr>
          <w:b/>
          <w:sz w:val="20"/>
        </w:rPr>
      </w:pPr>
      <w:r>
        <w:rPr>
          <w:b/>
          <w:sz w:val="20"/>
        </w:rPr>
        <w:t>ARTICLE V</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Stock Certificate Legend</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5.1 </w:t>
      </w:r>
      <w:r>
        <w:rPr>
          <w:sz w:val="20"/>
          <w:u w:val="single"/>
        </w:rPr>
        <w:t>Legend</w:t>
      </w:r>
      <w:r>
        <w:rPr>
          <w:sz w:val="20"/>
        </w:rPr>
        <w:t>. Each certificate representing the Shares shall be stamped or otherwise imprinted with a legend substantially in the following form:</w:t>
      </w:r>
    </w:p>
    <w:p>
      <w:pPr>
        <w:pStyle w:val="TextBody"/>
        <w:bidi w:val="0"/>
        <w:spacing w:before="0" w:after="0"/>
        <w:ind w:left="0" w:right="0" w:firstLine="720"/>
        <w:jc w:val="both"/>
        <w:rPr/>
      </w:pPr>
      <w:r>
        <w:rPr/>
        <w:t> </w:t>
      </w:r>
    </w:p>
    <w:p>
      <w:pPr>
        <w:pStyle w:val="TextBody"/>
        <w:bidi w:val="0"/>
        <w:spacing w:before="0" w:after="0"/>
        <w:ind w:left="0" w:right="0" w:hanging="0"/>
        <w:jc w:val="both"/>
        <w:rPr/>
      </w:pPr>
      <w:r>
        <w:rPr/>
        <w:t>“</w:t>
      </w:r>
      <w:r>
        <w:rPr>
          <w:sz w:val="20"/>
        </w:rPr>
        <w:t>THE SECURITIES REPRESENTED BY THIS CERTIFICATE HAVE NOT BEEN REGISTERED UNDER THE SECURITIES ACT OF 1933, AS AMENDED (THE “SECURITIES ACT”), OR ANY STATE SECURITIES LAWS AND NEITHER SUCH SECURITIES NOR ANY INTEREST THEREIN MAY BE OFFERED, SOLD, PLEDGED, ASSIGNED OR OTHERWISE TRANSFERRED EXCEPT (1) IN ACCORDANCE WITH THE PROVISIONS OF REGULATION S PROMULGATED UNDER THE SECURITIES ACT, AND BASED ON AN OPINION OF COUNSEL, WHICH COUNSEL AND OPINION ARE REASONABLY SATISFACTORY TO THE COMPANY, THAT THE PROVISIONS OF REGULATION S HAVE BEEN SATISFIED, (2) PURSUANT TO AN EFFECTIVE REGISTRATION STATEMENT UNDER THE SECURITIES ACT AND APPLICABLE STATE SECURITIES LAWS OR (3) PURSUANT TO AN AVAILABLE EXEMPTION FROM THE REGISTRATION REQUIREMENTS OF THE SECURITIES ACT AND APPLICABLE STATE SECURITIES LAWS, IN WHICH CASE THE HOLDER MUST, PRIOR TO SUCH TRANSFER, FURNISH TO THE COMPANY AN OPINION OF COUNSEL, WHICH COUNSEL AND OPINION ARE REASONABLY SATISFACTORY TO THE COMPANY, THAT SUCH SECURITIES MAY BE OFFERED, SOLD, PLEDGED, ASSIGNED OR OTHERWISE TRANSFERRED IN THE MANNER CONTEMPLATED PURSUANT TO AN AVAILABLE EXEMPTION FROM THE REGISTRATION REQUIREMENTS OF THE SECURITIES ACT AND APPLICABLE STATE SECURITIES LAWS. HEDGING TRANSACTIONS INVOLVING THE SECURITIES REPRESENTED BY THIS CERTIFICATE MAY NOT BE CONDUCTED UNLESS IN COMPLIANCE WITH THE SECURITIES ACT.”</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The Company agrees to reissue certificates representing any of the Shares, without the legend set forth above if at such time, prior to making any transfer of any such securities, such holder thereof shall give written notice to the Company describing the manner and terms of such sale and removal as the Company may reasonably request. Such proposed transfer and removal will not be effected until: (a) either (i) the Company has received an opinion of counsel reasonably satisfactory to the Company, to the effect that the registration of the Shares under the Securities Act is not required in connection with such proposed transfer, (ii) a registration statement under the Securities Act covering such proposed disposition has been filed by the Company with the Commission and has become effective under the Securities Act, (iii) the Company has received other evidence reasonably satisfactory to the Company that such registration and qualification under the Securities Act and state securities laws are not required, or (iv) the holder provides the Company with reasonable assurances that such security can be sold pursuant to Rule 144 under the Securities Act; and (b) either (i) the Company has received an opinion of counsel reasonably satisfactory to the Company, to the effect that registration or qualification under the securities or “blue sky” laws of any state is not required in connection with such proposed disposition, or (ii) compliance with applicable state securities or “blue sky” laws has been effected or a valid exemption exists with respect thereto. The Company will respond to any such notice from a holder within five (5) business days. In the case of any proposed transfer under this Section 5.1, the Company will use reasonable efforts to comply with any such applicable state securities or “blue sky” laws, but shall in no event be required, (x) to qualify to do business in any state where it is not then qualified, (y) to take any action that would subject it to tax or to the general service of process in any state where it is not then subject, or (z) to comply with state securities or “blue sky” laws of any state for which registration by coordination is unavailable to the Company. The restrictions on transfer contained in this Section 5.1 shall be in addition to, and not by way of limitation of, any other restrictions on transfer contained in any other section of this Agreement.</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ARTICLE VI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Indemnification</w:t>
      </w:r>
    </w:p>
    <w:p>
      <w:pPr>
        <w:pStyle w:val="TextBody"/>
        <w:bidi w:val="0"/>
        <w:spacing w:before="0" w:after="0"/>
        <w:ind w:left="0" w:right="0" w:firstLine="720"/>
        <w:jc w:val="both"/>
        <w:rPr>
          <w:sz w:val="20"/>
        </w:rPr>
      </w:pPr>
      <w:r>
        <w:rPr>
          <w:sz w:val="20"/>
        </w:rPr>
        <w:t xml:space="preserve">Section 6.1 </w:t>
      </w:r>
      <w:r>
        <w:rPr>
          <w:sz w:val="20"/>
          <w:u w:val="single"/>
        </w:rPr>
        <w:t>General Indemnity</w:t>
      </w:r>
      <w:r>
        <w:rPr>
          <w:sz w:val="20"/>
        </w:rPr>
        <w:t>. The Company agrees to indemnify and hold harmless the Purchaser (and it directors, officers, managers, partners, members, shareholders, affiliates, agents, successors and assigns) from and against any and all losses, liabilities, deficiencies, costs, damages and expenses (including, without limitation, reasonable attorneys’ fees, charges and disbursements) incurred by the Purchaser as a result of any inaccuracy in or breach of the representations, warranties or covenants made by the Company herein. The Purchaser agrees to indemnify and hold harmless the Company and its directors, officers, affiliates, agents, successors and assigns from and against any and all losses, liabilities, deficiencies, costs, damages and expenses (including, without limitation, reasonable attorneys’ fees, charges and disbursements) incurred by the Company as a result of any inaccuracy in or breach of the representations, warranties or covenants made by the Purchaser herein.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6.2 </w:t>
      </w:r>
      <w:r>
        <w:rPr>
          <w:sz w:val="20"/>
          <w:u w:val="single"/>
        </w:rPr>
        <w:t>Indemnification Procedure</w:t>
      </w:r>
      <w:r>
        <w:rPr>
          <w:sz w:val="20"/>
        </w:rPr>
        <w:t>. Any party entitled to indemnification under this Article VI (an “</w:t>
      </w:r>
      <w:r>
        <w:rPr>
          <w:sz w:val="20"/>
          <w:u w:val="single"/>
        </w:rPr>
        <w:t>Indemnified Party</w:t>
      </w:r>
      <w:r>
        <w:rPr>
          <w:sz w:val="20"/>
        </w:rPr>
        <w:t xml:space="preserve">”) will give written notice to the indemnifying party of any matters giving rise to a claim for indemnification; </w:t>
      </w:r>
      <w:r>
        <w:rPr>
          <w:sz w:val="20"/>
          <w:u w:val="single"/>
        </w:rPr>
        <w:t>provided</w:t>
      </w:r>
      <w:r>
        <w:rPr>
          <w:sz w:val="20"/>
        </w:rPr>
        <w:t xml:space="preserve">, that the failure of any party entitled to indemnification hereunder to give notice as provided herein shall not relieve the indemnifying party of its obligations under this Article VI except to the extent that the indemnifying party is actually prejudiced by such failure to give notice. In case any action, proceeding or claim is brought against an Indemnified Party in respect of which indemnification is sought hereunder, the indemnifying party shall be entitled to participate in and, unless in the reasonable judgment of the Indemnified Party a conflict of interest between it and the indemnifying party may exist with respect of such action, proceeding or claim, to assume the defense thereof with counsel reasonably satisfactory to the Indemnified Party. In the event that the indemnifying party advises an Indemnified Party that it will contest such a claim for indemnification hereunder, or fails, within thirty (30) days of receipt of any indemnification notice to notify, in writing, such person of its election to defend, settle or compromise, at its sole cost and expense, any action, proceeding or claim (or discontinues its defense at any time after it commences such defense), then the Indemnified Party may, at its option, defend, settle or otherwise compromise or pay such action or claim. In any event, unless and until the indemnifying party elects in writing to assume and does so assume the defense of any such claim, proceeding or action, the Indemnified Party’s costs and expenses arising out of the defense, settlement or compromise of any such action, claim or proceeding shall be losses subject to indemnification hereunder. The Indemnified Party shall cooperate fully with the indemnifying party in connection with any negotiation or defense of any such action or claim by the indemnifying party and shall furnish to the indemnifying party all information reasonably available to the Indemnified Party which relates to such action or claim. The indemnifying party shall keep the Indemnified Party fully apprised at all times as to the status of the defense or any settlement negotiations with respect thereto. If the indemnifying party elects to defend any such action or claim, then the Indemnified Party shall be entitled to participate in such defense with counsel of its choice at its sole cost and expense. The indemnifying party shall not be liable for any settlement of any action, claim or proceeding effected without its prior written consent, </w:t>
      </w:r>
      <w:r>
        <w:rPr>
          <w:sz w:val="20"/>
          <w:u w:val="single"/>
        </w:rPr>
        <w:t>provided</w:t>
      </w:r>
      <w:r>
        <w:rPr>
          <w:sz w:val="20"/>
        </w:rPr>
        <w:t xml:space="preserve">, </w:t>
      </w:r>
      <w:r>
        <w:rPr>
          <w:sz w:val="20"/>
          <w:u w:val="single"/>
        </w:rPr>
        <w:t>however</w:t>
      </w:r>
      <w:r>
        <w:rPr>
          <w:sz w:val="20"/>
        </w:rPr>
        <w:t>, that the indemnifying party shall be liable for any settlement if the indemnifying party is advised of the settlement but fails to respond to the settlement within thirty (30) days of receipt of such notification. Notwithstanding anything in this Article VI to the contrary, the indemnifying party shall not, without the Indemnified Party’s prior written consent, settle or compromise any claim or consent to entry of any judgment in respect thereof which imposes any future obligation on the Indemnified Party or which does not include, as an unconditional term thereof, the giving by the claimant or the plaintiff to the Indemnified Party of a release from all liability in respect of such claim. The indemnification required by this Article VI shall be made by periodic payments of the amount thereof during the course of investigation or defense, as and when bills are received or expense, loss, damage or liability is incurred, so long as the Indemnified Party irrevocably agrees to refund such moneys if it is ultimately determined by a court of competent jurisdiction that such party was not entitled to indemnification. The indemnity agreements contained herein shall be in addition to (a) any cause of action or similar rights of the Indemnified Party against the indemnifying party or others, and (b) any liabilities the indemnifying party may be subject to pursuant to the law.</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ARTICLE VII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Miscellaneous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7.1 </w:t>
      </w:r>
      <w:r>
        <w:rPr>
          <w:sz w:val="20"/>
          <w:u w:val="single"/>
        </w:rPr>
        <w:t>Fees and Expenses</w:t>
      </w:r>
      <w:r>
        <w:rPr>
          <w:sz w:val="20"/>
        </w:rPr>
        <w:t>. Each of the parties to this Agreement shall pay its own fees and expenses of each party’s advisors, counsel, accountants and other experts, if any, and all other expenses, incurred by each party incident to the negotiation, preparation, execution, delivery and performance of this Agreement and of all documents referred to in it.</w:t>
      </w:r>
    </w:p>
    <w:p>
      <w:pPr>
        <w:pStyle w:val="TextBody"/>
        <w:bidi w:val="0"/>
        <w:spacing w:before="0" w:after="0"/>
        <w:ind w:left="0" w:right="0" w:firstLine="720"/>
        <w:jc w:val="both"/>
        <w:rPr/>
      </w:pPr>
      <w:r>
        <w:rPr/>
        <w:t> </w:t>
      </w:r>
    </w:p>
    <w:p>
      <w:pPr>
        <w:pStyle w:val="TextBody"/>
        <w:bidi w:val="0"/>
        <w:spacing w:before="0" w:after="0"/>
        <w:ind w:left="0" w:right="0" w:firstLine="720"/>
        <w:jc w:val="left"/>
        <w:rPr>
          <w:sz w:val="20"/>
        </w:rPr>
      </w:pPr>
      <w:r>
        <w:rPr>
          <w:sz w:val="20"/>
        </w:rPr>
        <w:t xml:space="preserve">Section 7.2 </w:t>
      </w:r>
      <w:r>
        <w:rPr>
          <w:sz w:val="20"/>
          <w:u w:val="single"/>
        </w:rPr>
        <w:t>Specific Enforcement</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440"/>
        <w:jc w:val="both"/>
        <w:rPr>
          <w:sz w:val="20"/>
        </w:rPr>
      </w:pPr>
      <w:r>
        <w:rPr>
          <w:sz w:val="20"/>
        </w:rPr>
        <w:t>(a) The Company and the Purchaser acknowledge and agree that irreparable damage would occur in the event that any of the provisions of this Agreement or the other Transaction Documents were not performed in accordance with their specific terms or were otherwise breached. It is accordingly agreed that the parties shall be entitled to an injunction or injunctions to prevent or cure breaches of the provisions of this Agreement or the other Transaction Documents and to enforce specifically the terms and provisions hereof or thereof, this being in addition to any other remedy to which any of them may be entitled by law or equity.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(b) Each of the Company and the Purchaser (i) hereby irrevocably submits to the jurisdiction of the United States District Court sitting in the Southern District of New York and the courts of the State of New York located in New York county for the purposes of any suit, action or proceeding arising out of or relating to this Agreement or any of the other Transaction Documents or the transactions contemplated hereby or thereby and (ii) hereby waives, and agrees not to assert in any such suit, action or proceeding, any claim that it is not personally subject to the jurisdiction of such court, that the suit, action or proceeding is brought in an inconvenient forum or that the venue of the suit, action or proceeding is improper. Each of the Company and the Purchaser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in this Section 7.2 shall affect or limit any right to serve process in any other manner permitted by law.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The Company hereby appoints Loeb &amp; Loeb LLP, with offices at 345 Park Avenue, New York, NY 10153 as its agent for service of process in New York. Nothing contained herein shall be deemed to limit in any way any right to serve process in any manner permitted by law.</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sz w:val="20"/>
        </w:rPr>
        <w:t xml:space="preserve">Section 7.3 </w:t>
      </w:r>
      <w:r>
        <w:rPr>
          <w:sz w:val="20"/>
          <w:u w:val="single"/>
        </w:rPr>
        <w:t>Entire Agreement; Amendment</w:t>
      </w:r>
      <w:r>
        <w:rPr>
          <w:sz w:val="20"/>
        </w:rPr>
        <w:t>. This Agreement and the other Transaction Documents contains the entire understanding and agreement of the parties with respect to the matters covered hereby and, except as specifically set forth herein or in the Transaction Documents, neither the Company nor the Purchaser makes any representations, warranty, covenant or undertaking with respect to such matters and they supersede all prior understandings and agreements with respect to said subject matter, all of which are merged herein. No provision of this Agreement nor any of the Transaction Documents may be waived or amended other than by a written instrument signed by the Company and the Purchaser, and no provision hereof may be waived other than by a written instrument signed by the party against whom enforcement of any such waiver is sought.</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 xml:space="preserve">Section 7.4 </w:t>
      </w:r>
      <w:r>
        <w:rPr>
          <w:sz w:val="20"/>
          <w:u w:val="single"/>
        </w:rPr>
        <w:t>Notices</w:t>
      </w:r>
      <w:r>
        <w:rPr>
          <w:sz w:val="20"/>
        </w:rPr>
        <w:t>. All notices, demands, consents, requests, instructions and other communications to be given or delivered or permitted under or by reason of the provisions of this Agreement or in connection with the transactions contemplated hereby shall be in writing and shall be deemed to be delivered and received by the intended recipient as follows: (i) if personally delivered, on the business day of such delivery (as evidenced by the receipt of the personal delivery service), (ii) if mailed certified or registered mail return receipt requested, two (2) business days after being mailed, (iii) if delivered by overnight courier (with all charges having been prepaid), on the business day of such delivery (as evidenced by the receipt of the overnight courier service of recognized standing), or (iv) if delivered by facsimile transmission, on the business day of such delivery if sent by 6:00 p.m. in the time zone of the recipient, or if sent after that time, on the next succeeding business day (as evidenced by the printed confirmation of delivery generated by the sending party’s telecopier machine). If any notice, demand, consent, request, instruction or other communication cannot be delivered because of a changed address of which no notice was given (in accordance with this Section 4), or the refusal to accept same, the notice, demand, consent, request, instruction or other communication shall be deemed received on the second business day the notice is sent (as evidenced by a sworn affidavit of the sender). All such notices, demands, consents, requests, instructions and other communications will be sent to the following addresses or facsimile numbers as applicable:</w:t>
      </w:r>
    </w:p>
    <w:p>
      <w:pPr>
        <w:pStyle w:val="TextBody"/>
        <w:bidi w:val="0"/>
        <w:spacing w:before="0" w:after="0"/>
        <w:ind w:left="0" w:right="0" w:firstLine="720"/>
        <w:jc w:val="both"/>
        <w:rPr/>
      </w:pPr>
      <w:r>
        <w:rPr/>
        <w:t> </w:t>
      </w:r>
    </w:p>
    <w:p>
      <w:pPr>
        <w:pStyle w:val="TextBody"/>
        <w:bidi w:val="0"/>
        <w:spacing w:before="0" w:after="0"/>
        <w:ind w:left="0" w:right="0" w:firstLine="720"/>
        <w:jc w:val="left"/>
        <w:rPr>
          <w:sz w:val="20"/>
        </w:rPr>
      </w:pPr>
      <w:r>
        <w:rPr>
          <w:sz w:val="20"/>
        </w:rPr>
        <w:t>If to the Company:</w:t>
      </w:r>
    </w:p>
    <w:p>
      <w:pPr>
        <w:pStyle w:val="TextBody"/>
        <w:bidi w:val="0"/>
        <w:spacing w:before="0" w:after="0"/>
        <w:ind w:left="0" w:right="0" w:firstLine="720"/>
        <w:jc w:val="left"/>
        <w:rPr>
          <w:sz w:val="20"/>
        </w:rPr>
      </w:pPr>
      <w:r>
        <w:rPr>
          <w:sz w:val="20"/>
        </w:rPr>
        <w:t>ZW Data Action Technologies Inc.</w:t>
      </w:r>
    </w:p>
    <w:p>
      <w:pPr>
        <w:pStyle w:val="TextBody"/>
        <w:bidi w:val="0"/>
        <w:spacing w:before="0" w:after="0"/>
        <w:ind w:left="0" w:right="0" w:firstLine="720"/>
        <w:jc w:val="left"/>
        <w:rPr>
          <w:sz w:val="20"/>
        </w:rPr>
      </w:pPr>
      <w:r>
        <w:rPr>
          <w:sz w:val="20"/>
        </w:rPr>
        <w:t>Room 1811, Xinghuo Keji Plaza, No. 2 Fufeng Road,</w:t>
      </w:r>
    </w:p>
    <w:p>
      <w:pPr>
        <w:pStyle w:val="TextBody"/>
        <w:bidi w:val="0"/>
        <w:spacing w:before="0" w:after="0"/>
        <w:ind w:left="0" w:right="0" w:firstLine="720"/>
        <w:jc w:val="left"/>
        <w:rPr>
          <w:sz w:val="20"/>
        </w:rPr>
      </w:pPr>
      <w:r>
        <w:rPr>
          <w:sz w:val="20"/>
        </w:rPr>
        <w:t>Fengtai District, Beijing, PRC 100070</w:t>
      </w:r>
    </w:p>
    <w:p>
      <w:pPr>
        <w:pStyle w:val="TextBody"/>
        <w:bidi w:val="0"/>
        <w:spacing w:before="0" w:after="0"/>
        <w:ind w:left="0" w:right="0" w:firstLine="720"/>
        <w:jc w:val="left"/>
        <w:rPr>
          <w:sz w:val="20"/>
        </w:rPr>
      </w:pPr>
      <w:r>
        <w:rPr>
          <w:sz w:val="20"/>
        </w:rPr>
        <w:t>Attention: Mr. Handong Cheng</w:t>
      </w:r>
    </w:p>
    <w:p>
      <w:pPr>
        <w:pStyle w:val="TextBody"/>
        <w:bidi w:val="0"/>
        <w:spacing w:before="0" w:after="0"/>
        <w:ind w:left="0" w:right="0" w:firstLine="720"/>
        <w:jc w:val="left"/>
        <w:rPr>
          <w:sz w:val="20"/>
        </w:rPr>
      </w:pPr>
      <w:r>
        <w:rPr>
          <w:sz w:val="20"/>
        </w:rPr>
        <w:t>Tel. No.: +86-10-51600828</w:t>
      </w:r>
    </w:p>
    <w:p>
      <w:pPr>
        <w:pStyle w:val="TextBody"/>
        <w:bidi w:val="0"/>
        <w:spacing w:before="0" w:after="0"/>
        <w:ind w:left="0" w:right="0" w:firstLine="720"/>
        <w:jc w:val="left"/>
        <w:rPr>
          <w:sz w:val="20"/>
        </w:rPr>
      </w:pPr>
      <w:r>
        <w:rPr>
          <w:sz w:val="20"/>
        </w:rPr>
        <w:t>Fax No.: +86-10-51600328</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with copies (which shall not constitute notice) to:</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Loeb &amp; Loeb LLP</w:t>
      </w:r>
    </w:p>
    <w:p>
      <w:pPr>
        <w:pStyle w:val="TextBody"/>
        <w:bidi w:val="0"/>
        <w:spacing w:before="0" w:after="0"/>
        <w:ind w:left="0" w:right="0" w:firstLine="720"/>
        <w:jc w:val="left"/>
        <w:rPr>
          <w:sz w:val="20"/>
        </w:rPr>
      </w:pPr>
      <w:r>
        <w:rPr>
          <w:sz w:val="20"/>
        </w:rPr>
        <w:t>345 Park Avenue</w:t>
      </w:r>
    </w:p>
    <w:p>
      <w:pPr>
        <w:pStyle w:val="TextBody"/>
        <w:bidi w:val="0"/>
        <w:spacing w:before="0" w:after="0"/>
        <w:ind w:left="0" w:right="0" w:firstLine="720"/>
        <w:jc w:val="left"/>
        <w:rPr>
          <w:sz w:val="20"/>
        </w:rPr>
      </w:pPr>
      <w:r>
        <w:rPr>
          <w:sz w:val="20"/>
        </w:rPr>
        <w:t>New York, NY 10154</w:t>
      </w:r>
    </w:p>
    <w:p>
      <w:pPr>
        <w:pStyle w:val="TextBody"/>
        <w:bidi w:val="0"/>
        <w:spacing w:before="0" w:after="0"/>
        <w:ind w:left="0" w:right="0" w:firstLine="720"/>
        <w:jc w:val="left"/>
        <w:rPr>
          <w:sz w:val="20"/>
        </w:rPr>
      </w:pPr>
      <w:r>
        <w:rPr>
          <w:sz w:val="20"/>
        </w:rPr>
        <w:t>Attention: Mitchell S. Nussbaum, Esq.</w:t>
      </w:r>
    </w:p>
    <w:p>
      <w:pPr>
        <w:pStyle w:val="TextBody"/>
        <w:bidi w:val="0"/>
        <w:spacing w:before="0" w:after="0"/>
        <w:ind w:left="0" w:right="0" w:firstLine="720"/>
        <w:jc w:val="left"/>
        <w:rPr>
          <w:sz w:val="20"/>
        </w:rPr>
      </w:pPr>
      <w:r>
        <w:rPr>
          <w:sz w:val="20"/>
        </w:rPr>
        <w:t>Tel. No.: (212) 407-4000</w:t>
      </w:r>
    </w:p>
    <w:p>
      <w:pPr>
        <w:pStyle w:val="TextBody"/>
        <w:bidi w:val="0"/>
        <w:spacing w:before="0" w:after="0"/>
        <w:ind w:left="0" w:right="0" w:firstLine="720"/>
        <w:jc w:val="left"/>
        <w:rPr>
          <w:sz w:val="20"/>
        </w:rPr>
      </w:pPr>
      <w:r>
        <w:rPr>
          <w:sz w:val="20"/>
        </w:rPr>
        <w:t>Fax No.: (212) 407-4990</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If to the Purchaser:</w:t>
      </w:r>
    </w:p>
    <w:p>
      <w:pPr>
        <w:pStyle w:val="TextBody"/>
        <w:shd w:fill="FFFFFF" w:val="clear"/>
        <w:bidi w:val="0"/>
        <w:spacing w:before="0" w:after="0"/>
        <w:ind w:left="0" w:right="0" w:firstLine="720"/>
        <w:jc w:val="both"/>
        <w:rPr>
          <w:sz w:val="20"/>
        </w:rPr>
      </w:pPr>
      <w:r>
        <w:rPr>
          <w:sz w:val="20"/>
        </w:rPr>
        <w:t>BlackSilver Trust (Hong Kong) Limited (in its capacity as trustee of the VividHorizon Trust)</w:t>
      </w:r>
    </w:p>
    <w:p>
      <w:pPr>
        <w:pStyle w:val="TextBody"/>
        <w:shd w:fill="FFFFFF" w:val="clear"/>
        <w:bidi w:val="0"/>
        <w:spacing w:before="0" w:after="0"/>
        <w:ind w:left="0" w:right="0" w:firstLine="720"/>
        <w:jc w:val="both"/>
        <w:rPr>
          <w:sz w:val="20"/>
        </w:rPr>
      </w:pPr>
      <w:r>
        <w:rPr>
          <w:sz w:val="20"/>
        </w:rPr>
        <w:t>Flat 1905, K11 Atelier, 18 Salisbury Road, Tsim Sha Tsui, Kowloon, Hong Kong</w:t>
      </w:r>
    </w:p>
    <w:p>
      <w:pPr>
        <w:pStyle w:val="TextBody"/>
        <w:shd w:fill="FFFFFF" w:val="clear"/>
        <w:bidi w:val="0"/>
        <w:spacing w:before="0" w:after="0"/>
        <w:ind w:left="0" w:right="0" w:firstLine="720"/>
        <w:jc w:val="both"/>
        <w:rPr>
          <w:sz w:val="20"/>
        </w:rPr>
      </w:pPr>
      <w:r>
        <w:rPr>
          <w:sz w:val="20"/>
        </w:rPr>
        <w:t>Attention: Doris Chen</w:t>
      </w:r>
    </w:p>
    <w:p>
      <w:pPr>
        <w:pStyle w:val="TextBody"/>
        <w:shd w:fill="FFFFFF" w:val="clear"/>
        <w:bidi w:val="0"/>
        <w:spacing w:before="0" w:after="0"/>
        <w:ind w:left="0" w:right="0" w:firstLine="720"/>
        <w:jc w:val="both"/>
        <w:rPr>
          <w:sz w:val="20"/>
        </w:rPr>
      </w:pPr>
      <w:r>
        <w:rPr>
          <w:sz w:val="20"/>
        </w:rPr>
        <w:t>Tel. No.: 84931945</w:t>
      </w:r>
    </w:p>
    <w:p>
      <w:pPr>
        <w:pStyle w:val="TextBody"/>
        <w:shd w:fill="FFFFFF" w:val="clear"/>
        <w:bidi w:val="0"/>
        <w:spacing w:before="0" w:after="0"/>
        <w:ind w:left="0" w:right="0" w:firstLine="720"/>
        <w:jc w:val="both"/>
        <w:rPr/>
      </w:pPr>
      <w:r>
        <w:rPr/>
        <w:t> </w:t>
      </w:r>
    </w:p>
    <w:p>
      <w:pPr>
        <w:pStyle w:val="TextBody"/>
        <w:bidi w:val="0"/>
        <w:spacing w:before="0" w:after="0"/>
        <w:ind w:left="22" w:right="0" w:firstLine="700"/>
        <w:jc w:val="both"/>
        <w:rPr>
          <w:sz w:val="20"/>
        </w:rPr>
      </w:pPr>
      <w:r>
        <w:rPr>
          <w:sz w:val="20"/>
        </w:rPr>
        <w:t>Any party hereto may from time to time change its address for notices by giving at least ten (10) days written notice of such changed address to the other party hereto.</w:t>
      </w:r>
    </w:p>
    <w:p>
      <w:pPr>
        <w:pStyle w:val="TextBody"/>
        <w:bidi w:val="0"/>
        <w:spacing w:before="0" w:after="0"/>
        <w:ind w:left="22" w:right="0" w:firstLine="700"/>
        <w:jc w:val="both"/>
        <w:rPr/>
      </w:pPr>
      <w:r>
        <w:rPr/>
        <w:t> </w:t>
      </w:r>
    </w:p>
    <w:p>
      <w:pPr>
        <w:pStyle w:val="TextBody"/>
        <w:bidi w:val="0"/>
        <w:spacing w:before="0" w:after="0"/>
        <w:ind w:left="0" w:right="0" w:firstLine="720"/>
        <w:jc w:val="both"/>
        <w:rPr>
          <w:sz w:val="20"/>
        </w:rPr>
      </w:pPr>
      <w:r>
        <w:rPr>
          <w:sz w:val="20"/>
        </w:rPr>
        <w:t xml:space="preserve">Section 7.5 </w:t>
      </w:r>
      <w:r>
        <w:rPr>
          <w:sz w:val="20"/>
          <w:u w:val="single"/>
        </w:rPr>
        <w:t>Waivers</w:t>
      </w:r>
      <w:r>
        <w:rPr>
          <w:sz w:val="20"/>
        </w:rPr>
        <w:t>. No waiver by any party of any default with respect to any provision, condition or requirement of this Agreement shall be deemed to be a continuing waiver in the future or a waiver of any other provisions, condition or requirement hereof, nor shall any delay or omission of any party to exercise any right hereunder in any manner impair the exercise of any such right accruing to it thereafter.</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7.6 </w:t>
      </w:r>
      <w:r>
        <w:rPr>
          <w:sz w:val="20"/>
          <w:u w:val="single"/>
        </w:rPr>
        <w:t>Headings</w:t>
      </w:r>
      <w:r>
        <w:rPr>
          <w:sz w:val="20"/>
        </w:rPr>
        <w:t>. The section headings contained in this Agreement (including, without limitation, section headings and headings in the exhibits and schedules) are inserted for reference purposes only and shall not affect in any way the meaning, construction or interpretation of this Agreement. Any reference to the masculine, feminine, or neuter gender shall be a reference to such other gender as is appropriate. References to the singular shall include the plural and vice versa.</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 xml:space="preserve">Section 7.7 </w:t>
      </w:r>
      <w:r>
        <w:rPr>
          <w:sz w:val="20"/>
          <w:u w:val="single"/>
        </w:rPr>
        <w:t>Successors and Assigns</w:t>
      </w:r>
      <w:r>
        <w:rPr>
          <w:sz w:val="20"/>
        </w:rPr>
        <w:t xml:space="preserve">. This Agreement may not be assigned by a party hereto without the prior written consent of the Company or the Purchaser, as applicable, </w:t>
      </w:r>
      <w:r>
        <w:rPr>
          <w:sz w:val="20"/>
          <w:u w:val="single"/>
        </w:rPr>
        <w:t>provided</w:t>
      </w:r>
      <w:r>
        <w:rPr>
          <w:sz w:val="20"/>
        </w:rPr>
        <w:t xml:space="preserve">, </w:t>
      </w:r>
      <w:r>
        <w:rPr>
          <w:sz w:val="20"/>
          <w:u w:val="single"/>
        </w:rPr>
        <w:t>however</w:t>
      </w:r>
      <w:r>
        <w:rPr>
          <w:sz w:val="20"/>
        </w:rPr>
        <w:t xml:space="preserve">, that, subject to federal and state securities laws and as otherwise provided in the Transaction Documents, the Purchaser may assign its rights and delegate its duties hereunder in whole or in part (i) to a third party acquiring all or substantially all of its Shares in a private transaction or (ii) to an affiliate, in each case, without the prior written consent of the Company, after notice duly given by the Purchaser to the Company </w:t>
      </w:r>
      <w:r>
        <w:rPr>
          <w:sz w:val="20"/>
          <w:u w:val="single"/>
        </w:rPr>
        <w:t>provided</w:t>
      </w:r>
      <w:r>
        <w:rPr>
          <w:sz w:val="20"/>
        </w:rPr>
        <w:t>, that no such assignment or obligation shall affect the obligations of the Purchaser hereunder and that such assignee agrees in writing to be bound, with respect to the transferred securities, by the provisions hereof that apply to the Purchaser. The provisions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7.8 </w:t>
      </w:r>
      <w:r>
        <w:rPr>
          <w:sz w:val="20"/>
          <w:u w:val="single"/>
        </w:rPr>
        <w:t>No Third Party Beneficiaries</w:t>
      </w:r>
      <w:r>
        <w:rPr>
          <w:sz w:val="20"/>
        </w:rPr>
        <w:t>.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7.9 </w:t>
      </w:r>
      <w:r>
        <w:rPr>
          <w:sz w:val="20"/>
          <w:u w:val="single"/>
        </w:rPr>
        <w:t>Governing Law</w:t>
      </w:r>
      <w:r>
        <w:rPr>
          <w:sz w:val="20"/>
        </w:rPr>
        <w:t>. This Agreement shall be governed by and construed in accordance with the internal laws of the State of New York, without giving effect to any of the conflicts of law principles which would result in the application of the substantive law of another jurisdiction. This Agreement shall not be interpreted or construed with any presumption against the party causing this Agreement to be drafted.</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7.10 </w:t>
      </w:r>
      <w:r>
        <w:rPr>
          <w:sz w:val="20"/>
          <w:u w:val="single"/>
        </w:rPr>
        <w:t>Survival</w:t>
      </w:r>
      <w:r>
        <w:rPr>
          <w:sz w:val="20"/>
        </w:rPr>
        <w:t>. The representations and warranties of the Company and the Purchaser shall survive the execution and delivery hereof and the Closing hereunder for a period of three (3) years following the Closing Date.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7.11 </w:t>
      </w:r>
      <w:r>
        <w:rPr>
          <w:sz w:val="20"/>
          <w:u w:val="single"/>
        </w:rPr>
        <w:t>Counterparts</w:t>
      </w:r>
      <w:r>
        <w:rPr>
          <w:sz w:val="20"/>
        </w:rPr>
        <w:t>. This Agreement may be executed in any number of counterparts, each of which when so executed shall be deemed to be an original and, all of which taken together shall constitute one and the same Agreement and shall become effective when counterparts have been signed by each party and delivered to the other parties hereto, it being understood that all parties need not sign the same counterpart. In the event that any signature is delivered by facsimile transmission, such signature shall create a valid binding obligation of the party executing (or on whose behalf such signature is executed) the same with the same force and effect as if such facsimile signature were the original thereof.</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7.12 </w:t>
      </w:r>
      <w:r>
        <w:rPr>
          <w:sz w:val="20"/>
          <w:u w:val="single"/>
        </w:rPr>
        <w:t>Severability</w:t>
      </w:r>
      <w:r>
        <w:rPr>
          <w:sz w:val="20"/>
        </w:rPr>
        <w:t>. The provisions of this Agreement and the Transaction Documents are severable and, in the event that any court of competent jurisdiction shall determine that any one or more of the provisions or part of the provisions contained in this Agreement or the Transaction Documents shall, for any reason, be held to be invalid, illegal or unenforceable in any respect, such invalidity, illegality or unenforceability shall not affect any other provision or part of a provision of this Agreement or the Transaction Documents and such provision shall be reformed and construed as if such invalid or illegal or unenforceable provision, or part of such provision, had never been contained herein, so that such provisions would be valid, legal and enforceable to the maximum extent possible.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Section 7.13</w:t>
      </w:r>
      <w:r>
        <w:rPr>
          <w:sz w:val="20"/>
          <w:u w:val="single"/>
        </w:rPr>
        <w:t xml:space="preserve"> Further Assurances</w:t>
      </w:r>
      <w:r>
        <w:rPr>
          <w:sz w:val="20"/>
        </w:rPr>
        <w:t>. From and after the date of this Agreement, upon the request of the Purchaser or the Company, each of the Company and the Purchaser shall execute and deliver such instrument, documents and other writings as may be reasonably necessary or desirable to confirm and carry out and to effectuate fully the intent and purposes of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7.15 </w:t>
      </w:r>
      <w:r>
        <w:rPr>
          <w:sz w:val="20"/>
          <w:u w:val="single"/>
        </w:rPr>
        <w:t>Currency</w:t>
      </w:r>
      <w:r>
        <w:rPr>
          <w:sz w:val="20"/>
        </w:rPr>
        <w:t>. Unless otherwise indicated, all dollar amounts referred to in this Agreement are in United States Dollars. All amounts owing under this Agreement or any Transaction Document shall be paid in US dollars. All amounts denominated in other currencies shall be converted in the US dollar equivalent amount in accordance with the Exchange Rate on the date of calculation. “Exchange Rate” means, in relation to any amount of currency to be converted into US dollars pursuant to this Agreement, the US dollar exchange rate as published in The Wall Street Journal on the relevant date of calculation.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7.16 </w:t>
      </w:r>
      <w:r>
        <w:rPr>
          <w:sz w:val="20"/>
          <w:u w:val="single"/>
        </w:rPr>
        <w:t>Force Majeure</w:t>
      </w:r>
      <w:r>
        <w:rPr>
          <w:sz w:val="20"/>
        </w:rPr>
        <w:t>. If the transactions under this Agreement cannot be completed due to any political, military, government intervention or any other force majeure causes which are out of the Company’s or the Purchaser’s control, this Agreement shall be terminated automatically. Upon a termination in accordance with this Section 7.16, the Company and the Purchaser shall not have any further obligation or liability (including as arising from such termination) to the other.</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 xml:space="preserve">Section 7.17 </w:t>
      </w:r>
      <w:r>
        <w:rPr>
          <w:sz w:val="20"/>
          <w:u w:val="single"/>
        </w:rPr>
        <w:t>Termination by Mutual Agreement</w:t>
      </w:r>
      <w:r>
        <w:rPr>
          <w:sz w:val="20"/>
        </w:rPr>
        <w:t>. This Agreement may be terminated prior to the Closing by written agreement of the Company and the Purchaser. Upon a termination in accordance with this Section 7.17, the Company and the Purchaser shall not have any further obligation or liability (including as arising from such termination) to the other.</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[REMAINDER OF PAGE INTENTIONALLY LEFT BLANK]</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IN WITNESS WHEREOF, the parties hereto have caused this Agreement to be duly executed by their respective authorized officer as of the date first above written.</w:t>
      </w:r>
    </w:p>
    <w:p>
      <w:pPr>
        <w:pStyle w:val="TextBody"/>
        <w:bidi w:val="0"/>
        <w:spacing w:before="0" w:after="0"/>
        <w:ind w:left="0" w:right="0" w:firstLine="720"/>
        <w:jc w:val="left"/>
        <w:rPr/>
      </w:pPr>
      <w:r>
        <w:rPr/>
        <w:t> </w:t>
      </w:r>
    </w:p>
    <w:tbl>
      <w:tblPr>
        <w:tblW w:w="3985" w:type="dxa"/>
        <w:jc w:val="left"/>
        <w:tblInd w:w="0" w:type="dxa"/>
        <w:tblLayout w:type="fixed"/>
        <w:tblCellMar>
          <w:top w:w="0" w:type="dxa"/>
          <w:left w:w="0" w:type="dxa"/>
          <w:bottom w:w="0" w:type="dxa"/>
          <w:right w:w="0" w:type="dxa"/>
        </w:tblCellMar>
      </w:tblPr>
      <w:tblGrid>
        <w:gridCol w:w="75"/>
        <w:gridCol w:w="320"/>
        <w:gridCol w:w="359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sz w:val="20"/>
              </w:rPr>
            </w:pPr>
            <w:r>
              <w:rPr>
                <w:sz w:val="20"/>
              </w:rPr>
              <w:t>ZW DATA ACTION TECHNOLOGIES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sz w:val="20"/>
              </w:rPr>
            </w:pPr>
            <w:r>
              <w:rPr>
                <w:sz w:val="20"/>
              </w:rPr>
              <w:t>By:</w:t>
            </w:r>
          </w:p>
        </w:tc>
        <w:tc>
          <w:tcPr>
            <w:tcW w:w="3590" w:type="dxa"/>
            <w:tcBorders>
              <w:bottom w:val="single" w:sz="8" w:space="0" w:color="000000"/>
            </w:tcBorders>
            <w:tcMar>
              <w:bottom w:w="28" w:type="dxa"/>
            </w:tcMar>
            <w:vAlign w:val="center"/>
          </w:tcPr>
          <w:p>
            <w:pPr>
              <w:pStyle w:val="TableContents"/>
              <w:bidi w:val="0"/>
              <w:spacing w:before="0" w:after="283"/>
              <w:jc w:val="left"/>
              <w:rPr/>
            </w:pPr>
            <w:r>
              <w:rPr/>
              <w:t>/s/ Handong Cheng</w:t>
            </w:r>
          </w:p>
        </w:tc>
      </w:tr>
      <w:tr>
        <w:trPr/>
        <w:tc>
          <w:tcPr>
            <w:tcW w:w="395" w:type="dxa"/>
            <w:gridSpan w:val="2"/>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ind w:left="0" w:right="0" w:hanging="0"/>
              <w:jc w:val="left"/>
              <w:rPr>
                <w:sz w:val="20"/>
              </w:rPr>
            </w:pPr>
            <w:r>
              <w:rPr>
                <w:sz w:val="20"/>
              </w:rPr>
              <w:t>Name: Handong Cheng</w:t>
            </w:r>
          </w:p>
          <w:p>
            <w:pPr>
              <w:pStyle w:val="TableContents"/>
              <w:bidi w:val="0"/>
              <w:spacing w:before="0" w:after="0"/>
              <w:ind w:left="600" w:right="0" w:hanging="600"/>
              <w:jc w:val="left"/>
              <w:rPr>
                <w:sz w:val="20"/>
              </w:rPr>
            </w:pPr>
            <w:r>
              <w:rPr>
                <w:sz w:val="20"/>
              </w:rPr>
              <w:t>Title: Chief Executive Officer</w:t>
            </w:r>
          </w:p>
        </w:tc>
      </w:tr>
    </w:tbl>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COUNTERPART SIGNATURE PAGE</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By its execution and delivery of this signature page, the undersigned Purchaser hereby agrees to be bound by the terms and conditions of the Securities Purchase Agreement, dated as of January 19, 2025.</w:t>
      </w:r>
    </w:p>
    <w:p>
      <w:pPr>
        <w:pStyle w:val="TextBody"/>
        <w:bidi w:val="0"/>
        <w:spacing w:before="0" w:after="0"/>
        <w:ind w:left="0" w:right="0" w:hanging="0"/>
        <w:jc w:val="center"/>
        <w:rPr/>
      </w:pPr>
      <w:r>
        <w:rPr/>
        <w:t> </w:t>
      </w:r>
    </w:p>
    <w:tbl>
      <w:tblPr>
        <w:tblW w:w="4504" w:type="dxa"/>
        <w:jc w:val="left"/>
        <w:tblInd w:w="0" w:type="dxa"/>
        <w:tblLayout w:type="fixed"/>
        <w:tblCellMar>
          <w:top w:w="0" w:type="dxa"/>
          <w:left w:w="0" w:type="dxa"/>
          <w:bottom w:w="0" w:type="dxa"/>
          <w:right w:w="0" w:type="dxa"/>
        </w:tblCellMar>
      </w:tblPr>
      <w:tblGrid>
        <w:gridCol w:w="75"/>
        <w:gridCol w:w="498"/>
        <w:gridCol w:w="3931"/>
      </w:tblGrid>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0"/>
              <w:ind w:left="0" w:right="0" w:hanging="0"/>
              <w:jc w:val="left"/>
              <w:rPr>
                <w:b/>
                <w:sz w:val="20"/>
              </w:rPr>
            </w:pPr>
            <w:r>
              <w:rPr>
                <w:b/>
                <w:sz w:val="20"/>
              </w:rPr>
              <w:t>BLACKSILVER TRUST (HONG KONG) LIMITED</w:t>
            </w:r>
          </w:p>
          <w:p>
            <w:pPr>
              <w:pStyle w:val="TableContents"/>
              <w:bidi w:val="0"/>
              <w:spacing w:before="0" w:after="0"/>
              <w:ind w:left="0" w:right="0" w:hanging="0"/>
              <w:jc w:val="left"/>
              <w:rPr>
                <w:sz w:val="20"/>
              </w:rPr>
            </w:pPr>
            <w:r>
              <w:rPr>
                <w:sz w:val="20"/>
              </w:rPr>
              <w:t>in its capacity as trustee of</w:t>
            </w:r>
          </w:p>
          <w:p>
            <w:pPr>
              <w:pStyle w:val="TableContents"/>
              <w:bidi w:val="0"/>
              <w:spacing w:before="0" w:after="0"/>
              <w:ind w:left="0" w:right="0" w:hanging="0"/>
              <w:jc w:val="left"/>
              <w:rPr>
                <w:b/>
                <w:sz w:val="20"/>
              </w:rPr>
            </w:pPr>
            <w:r>
              <w:rPr>
                <w:b/>
                <w:sz w:val="20"/>
              </w:rPr>
              <w:t>THE VIVIDHORIZON TRUST</w:t>
            </w:r>
          </w:p>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left"/>
              <w:rPr>
                <w:sz w:val="20"/>
              </w:rPr>
            </w:pPr>
            <w:r>
              <w:rPr>
                <w:sz w:val="20"/>
              </w:rPr>
              <w:t>By:</w:t>
            </w:r>
          </w:p>
        </w:tc>
        <w:tc>
          <w:tcPr>
            <w:tcW w:w="3931" w:type="dxa"/>
            <w:tcBorders>
              <w:bottom w:val="single" w:sz="8" w:space="0" w:color="000000"/>
            </w:tcBorders>
            <w:tcMar>
              <w:bottom w:w="28" w:type="dxa"/>
            </w:tcMar>
            <w:vAlign w:val="center"/>
          </w:tcPr>
          <w:p>
            <w:pPr>
              <w:pStyle w:val="TableContents"/>
              <w:bidi w:val="0"/>
              <w:spacing w:before="0" w:after="283"/>
              <w:jc w:val="left"/>
              <w:rPr/>
            </w:pPr>
            <w:r>
              <w:rPr/>
              <w:t>/s/ Doris Chen</w:t>
            </w:r>
          </w:p>
        </w:tc>
      </w:tr>
      <w:tr>
        <w:trPr/>
        <w:tc>
          <w:tcPr>
            <w:tcW w:w="75"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left"/>
              <w:rPr/>
            </w:pPr>
            <w:r>
              <w:rPr/>
              <w:t> </w:t>
            </w:r>
          </w:p>
        </w:tc>
        <w:tc>
          <w:tcPr>
            <w:tcW w:w="3931" w:type="dxa"/>
            <w:tcBorders/>
            <w:vAlign w:val="center"/>
          </w:tcPr>
          <w:p>
            <w:pPr>
              <w:pStyle w:val="TableContents"/>
              <w:bidi w:val="0"/>
              <w:spacing w:before="0" w:after="283"/>
              <w:jc w:val="left"/>
              <w:rPr>
                <w:sz w:val="20"/>
              </w:rPr>
            </w:pPr>
            <w:r>
              <w:rPr>
                <w:sz w:val="20"/>
              </w:rPr>
              <w:t>Name:  Doris Chen</w:t>
            </w:r>
          </w:p>
        </w:tc>
      </w:tr>
      <w:tr>
        <w:trPr/>
        <w:tc>
          <w:tcPr>
            <w:tcW w:w="75"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left"/>
              <w:rPr/>
            </w:pPr>
            <w:r>
              <w:rPr/>
              <w:t> </w:t>
            </w:r>
          </w:p>
        </w:tc>
        <w:tc>
          <w:tcPr>
            <w:tcW w:w="3931" w:type="dxa"/>
            <w:tcBorders/>
            <w:vAlign w:val="center"/>
          </w:tcPr>
          <w:p>
            <w:pPr>
              <w:pStyle w:val="TableContents"/>
              <w:bidi w:val="0"/>
              <w:spacing w:before="0" w:after="283"/>
              <w:jc w:val="left"/>
              <w:rPr>
                <w:sz w:val="20"/>
              </w:rPr>
            </w:pPr>
            <w:r>
              <w:rPr>
                <w:sz w:val="20"/>
              </w:rPr>
              <w:t>Title:   Chief Operating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PRINT EXACT NAME IN WHICH YOU WANT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SECURITIES TO BE REGISTERED</w:t>
      </w:r>
    </w:p>
    <w:p>
      <w:pPr>
        <w:pStyle w:val="TextBody"/>
        <w:bidi w:val="0"/>
        <w:spacing w:before="0" w:after="0"/>
        <w:ind w:left="0" w:right="0" w:hanging="0"/>
        <w:jc w:val="center"/>
        <w:rPr/>
      </w:pPr>
      <w:r>
        <w:rPr/>
        <w:t> </w:t>
      </w:r>
    </w:p>
    <w:tbl>
      <w:tblPr>
        <w:tblW w:w="1220" w:type="dxa"/>
        <w:jc w:val="left"/>
        <w:tblInd w:w="0" w:type="dxa"/>
        <w:tblLayout w:type="fixed"/>
        <w:tblCellMar>
          <w:top w:w="0" w:type="dxa"/>
          <w:left w:w="0" w:type="dxa"/>
          <w:bottom w:w="0" w:type="dxa"/>
          <w:right w:w="0" w:type="dxa"/>
        </w:tblCellMar>
      </w:tblPr>
      <w:tblGrid>
        <w:gridCol w:w="1145"/>
        <w:gridCol w:w="75"/>
      </w:tblGrid>
      <w:tr>
        <w:trPr/>
        <w:tc>
          <w:tcPr>
            <w:tcW w:w="1145" w:type="dxa"/>
            <w:tcBorders/>
            <w:vAlign w:val="center"/>
          </w:tcPr>
          <w:p>
            <w:pPr>
              <w:pStyle w:val="TableContents"/>
              <w:bidi w:val="0"/>
              <w:spacing w:before="0" w:after="283"/>
              <w:jc w:val="left"/>
              <w:rPr>
                <w:sz w:val="20"/>
              </w:rPr>
            </w:pPr>
            <w:r>
              <w:rPr>
                <w:sz w:val="20"/>
              </w:rPr>
              <w:t>Attn:</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20"/>
              </w:rPr>
            </w:pPr>
            <w:r>
              <w:rPr>
                <w:sz w:val="20"/>
              </w:rPr>
              <w:t>Address: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20"/>
              </w:rPr>
            </w:pPr>
            <w:r>
              <w:rPr>
                <w:sz w:val="20"/>
              </w:rPr>
              <w:t>Phone No.</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20"/>
              </w:rPr>
            </w:pPr>
            <w:r>
              <w:rPr>
                <w:sz w:val="20"/>
              </w:rPr>
              <w:t>Facsimile No.</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EXHIBIT A TO THE</w:t>
      </w:r>
    </w:p>
    <w:p>
      <w:pPr>
        <w:pStyle w:val="TextBody"/>
        <w:bidi w:val="0"/>
        <w:spacing w:before="0" w:after="0"/>
        <w:ind w:left="0" w:right="0" w:hanging="0"/>
        <w:jc w:val="center"/>
        <w:rPr>
          <w:b/>
          <w:sz w:val="20"/>
        </w:rPr>
      </w:pPr>
      <w:r>
        <w:rPr>
          <w:b/>
          <w:sz w:val="20"/>
        </w:rPr>
        <w:t>SECURITIES PURCHASE AGREEMENT</w:t>
      </w:r>
    </w:p>
    <w:p>
      <w:pPr>
        <w:pStyle w:val="TextBody"/>
        <w:bidi w:val="0"/>
        <w:spacing w:before="0" w:after="0"/>
        <w:ind w:left="0" w:right="0" w:hanging="0"/>
        <w:jc w:val="left"/>
        <w:rPr/>
      </w:pPr>
      <w:r>
        <w:rPr/>
        <w:t> </w:t>
      </w:r>
    </w:p>
    <w:p>
      <w:pPr>
        <w:pStyle w:val="HorizontalLine"/>
        <w:pBdr>
          <w:bottom w:val="single" w:sz="6" w:space="0" w:color="808080"/>
        </w:pBdr>
        <w:bidi w:val="0"/>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FORM OF LOCK-UP AGREEMENT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ind w:left="60" w:right="60" w:hanging="0"/>
        <w:jc w:val="left"/>
        <w:rPr>
          <w:bdr w:val="single" w:sz="24" w:space="1" w:color="000000"/>
        </w:rPr>
      </w:pPr>
      <w:r>
        <w:rPr>
          <w:bdr w:val="single" w:sz="24" w:space="1" w:color="000000"/>
        </w:rPr>
        <w:t> </w:t>
      </w:r>
    </w:p>
    <w:p>
      <w:pPr>
        <w:pStyle w:val="TextBody"/>
        <w:shd w:fill="FFFFFF" w:val="clear"/>
        <w:bidi w:val="0"/>
        <w:jc w:val="right"/>
        <w:rPr>
          <w:rFonts w:ascii="Times New Roman;Times;Serif" w:hAnsi="Times New Roman;Times;Serif"/>
          <w:b/>
          <w:i w:val="false"/>
          <w:caps w:val="false"/>
          <w:smallCaps w:val="false"/>
          <w:sz w:val="20"/>
        </w:rPr>
      </w:pPr>
      <w:bookmarkStart w:id="30" w:name="exh_104.htm"/>
      <w:bookmarkStart w:id="31" w:name="ksexh_104"/>
      <w:bookmarkEnd w:id="30"/>
      <w:bookmarkEnd w:id="31"/>
      <w:r>
        <w:rPr>
          <w:rFonts w:ascii="Times New Roman;Times;Serif" w:hAnsi="Times New Roman;Times;Serif"/>
          <w:b/>
          <w:i w:val="false"/>
          <w:caps w:val="false"/>
          <w:smallCaps w:val="false"/>
          <w:sz w:val="20"/>
        </w:rPr>
        <w:t>Exhibit 10.4</w:t>
      </w:r>
      <w:r>
        <w:br w:type="page"/>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LOCK-UP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8 May, 2025 by and among ZW Data Action Technologies Inc., a Nevada corporation (NASDAQ: CNET) (the “Company”), and BlackSilver Trust (Hong Kong) Limited (Business Registration Number: 74239285) in its capacity as trustee of the VividHorizon Trust (the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intends to consummate a private placement transaction with the Purchaser, whereby the Company will issue 119,100 shares of common stock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to the Purchaser;</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transaction, the Company entered into a Securities Purchase Agreement, dated as of the date hereof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by and among the Company and the Purchaser, and certain other agreements, documents, instruments and certificates necessary to carry out the purposes thereof (collectively, the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and</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order to induce the Company and the Purchaser to enter into the Purchase Agreement, the Purchaser has agreed not to sell any of the Shares, except in accordance with the terms and conditions set forth herein (the “</w:t>
      </w:r>
      <w:r>
        <w:rPr>
          <w:rFonts w:ascii="Times New Roman;Times;Serif" w:hAnsi="Times New Roman;Times;Serif"/>
          <w:b w:val="false"/>
          <w:i w:val="false"/>
          <w:caps w:val="false"/>
          <w:smallCaps w:val="false"/>
          <w:sz w:val="20"/>
          <w:u w:val="single"/>
        </w:rPr>
        <w:t>Lock-Up Shares</w:t>
      </w:r>
      <w:r>
        <w:rPr>
          <w:rFonts w:ascii="Times New Roman;Times;Serif" w:hAnsi="Times New Roman;Times;Serif"/>
          <w:b w:val="false"/>
          <w:i w:val="false"/>
          <w:caps w:val="false"/>
          <w:smallCaps w:val="false"/>
          <w:sz w:val="20"/>
        </w:rPr>
        <w:t>”). Capitalized terms used herein without definition shall have the meanings assigned to such terms in the Purchase Agreement.</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covenants and conditions hereinafter contained, the parties hereto agree as follows:</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Restriction on Transfer; Term</w:t>
      </w:r>
      <w:r>
        <w:rPr>
          <w:rFonts w:ascii="Times New Roman;Times;Serif" w:hAnsi="Times New Roman;Times;Serif"/>
          <w:b w:val="false"/>
          <w:i w:val="false"/>
          <w:caps w:val="false"/>
          <w:smallCaps w:val="false"/>
          <w:sz w:val="20"/>
        </w:rPr>
        <w:t>. The Purchaser hereby agrees not to offer, sell, contract to sell, assign, transfer, hypothecate, gift, pledge or grant a security interest in, or otherwise dispose of, or enter into any transaction which is designed to, or might reasonably be expected to, result in the disposition of (whether by actual disposition or effective economic disposition due to cash settlement or otherwise, directly or indirectly) (each, a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any of the Lock-Up Shares until the six-month anniversary of the date of this Agreement (the “</w:t>
      </w:r>
      <w:r>
        <w:rPr>
          <w:rFonts w:ascii="Times New Roman;Times;Serif" w:hAnsi="Times New Roman;Times;Serif"/>
          <w:b w:val="false"/>
          <w:i w:val="false"/>
          <w:caps w:val="false"/>
          <w:smallCaps w:val="false"/>
          <w:sz w:val="20"/>
          <w:u w:val="single"/>
        </w:rPr>
        <w:t>Lock-Up Period</w:t>
      </w:r>
      <w:r>
        <w:rPr>
          <w:rFonts w:ascii="Times New Roman;Times;Serif" w:hAnsi="Times New Roman;Times;Serif"/>
          <w:b w:val="false"/>
          <w:i w:val="false"/>
          <w:caps w:val="false"/>
          <w:smallCaps w:val="false"/>
          <w:sz w:val="20"/>
        </w:rPr>
        <w:t>”).</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Ownership</w:t>
      </w:r>
      <w:r>
        <w:rPr>
          <w:rFonts w:ascii="Times New Roman;Times;Serif" w:hAnsi="Times New Roman;Times;Serif"/>
          <w:b w:val="false"/>
          <w:i w:val="false"/>
          <w:caps w:val="false"/>
          <w:smallCaps w:val="false"/>
          <w:sz w:val="20"/>
        </w:rPr>
        <w:t>. During the Lock-Up Period, the Purchaser shall retain all rights of ownership in the Lock-Up Shares, including, without limitation, voting rights and the right to receive any dividends that may be declared in respect thereof.</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Company and Transfer Agent</w:t>
      </w:r>
      <w:r>
        <w:rPr>
          <w:rFonts w:ascii="Times New Roman;Times;Serif" w:hAnsi="Times New Roman;Times;Serif"/>
          <w:b w:val="false"/>
          <w:i w:val="false"/>
          <w:caps w:val="false"/>
          <w:smallCaps w:val="false"/>
          <w:sz w:val="20"/>
        </w:rPr>
        <w:t>. The Company is hereby authorized and required to disclose the existence of this Agreement to its transfer agent. The Company and its transfer agent are hereby authorized and required to decline to make any transfer of the Lock-Up Shares if such transfer would constitute a violation or breach of this Agreement.</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consents, requests, instructions and other communications to be given or delivered or permitted under or by reason of the provisions of this Agreement or in connection with the transactions contemplated hereby shall be in writing and shall be deemed to be delivered and received by the intended recipient as follows: (i) if personally delivered, on the business day of such delivery (as evidenced by the receipt of the personal delivery service), (ii) if mailed certified or registered mail return receipt requested, two (2) business days after being mailed, (iii) if delivered by overnight courier (with all charges having been prepaid), on the business day of such delivery (as evidenced by the receipt of the overnight courier service of recognized standing), or (iv) if delivered by facsimile transmission, on the business day of such delivery if sent by 6:00 p.m. in the time zone of the recipient, or if sent after that time, on the next succeeding business day (as evidenced by the printed confirmation of delivery generated by the sending party’s telecopier machine). If any notice, demand, consent, request, instruction or other communication cannot be delivered because of a changed address of which no notice was given (in accordance with this Section 4), or the refusal to accept same, the notice, demand, consent, request, instruction or other communication shall be deemed received on the second business day the notice is sent (as evidenced by a sworn affidavit of the sender). All such notices, demands, consents, requests, instructions and other communications will be sent to the following addresses or facsimile numbers as applicable.</w:t>
      </w:r>
    </w:p>
    <w:p>
      <w:pPr>
        <w:pStyle w:val="TextBody"/>
        <w:shd w:fill="FFFFFF" w:val="clear"/>
        <w:bidi w:val="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1</w:t>
            </w:r>
          </w:p>
        </w:tc>
      </w:tr>
    </w:tbl>
    <w:p>
      <w:pPr>
        <w:pStyle w:val="TextBody"/>
        <w:bidi w:val="0"/>
        <w:spacing w:before="0" w:after="0"/>
        <w:ind w:left="0" w:right="0" w:hanging="0"/>
        <w:jc w:val="left"/>
        <w:rPr/>
      </w:pPr>
      <w:r>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ZW Data Action Technologies Inc.</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1811, Xinghuo Keji Plaza, No. 2 Fufeng Road,</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Fengtai District, Beijing, PRC 100070</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Mr. Handong Cheng</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No.: +86-10-51600828</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No.: +86-10-51600328</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copies shall not constitute notice to the Company) to:</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Loeb &amp; Loeb LLP</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 Park Avenue</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10154</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Mitchell Nussbaum, Esq.</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No.: (212) 407-4159</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No.: (212) 407-4990</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Purchaser:</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BlackSilver Trust (Hong Kong) Limited (in its capacity as trustee of the VividHorizon Trust)</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Flat 1905, K11 Atelier, 18 Salisbury Road, Tsim Sha Tsui, Kowloon, Hong Kong</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Doris Chen</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No.: 84931945</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as any party may specify by notice given to the other party in accordance with this Section 4.</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Agreement may not be modified, changed, supplemented, amended or terminated, nor may any obligations hereunder be waived, except by written instrument signed by the parties to be charged or by its agent duly authorized in writing or as otherwise expressly permitted herein.</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contains the entire understanding and agreement of the parties relating to the subject matter hereof and supersedes all prior and/or contemporaneous understandings and agreements of any kind and nature (whether written or oral) among the parties with respect to such subject matter.</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internal laws of the State of New York, without giving effect to any of the conflicts of law principles which would result in the application of the substantive law of another jurisdiction. This Agreement shall not be interpreted or construed with any presumption against the party causing this Agreement to be drafted.</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The provisions of this Agreement are severable and, in the event that any court of competent jurisdiction shall determine that any one or more of the provisions or part of the provisions contained in this Agreement shall, for any reason, be held to be invalid, illegal or unenforceable in any respect, such invalidity, illegality or unenforceability shall not affect any other provision or part of a provision of this Agreement and such provision shall be reformed and construed as if such invalid or illegal or unenforceable provision, or part of such provision, had never been contained herein, so that such provisions would be valid, legal and enforceable to the maximum extent possible.</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Binding Effect; Assignment</w:t>
      </w:r>
      <w:r>
        <w:rPr>
          <w:rFonts w:ascii="Times New Roman;Times;Serif" w:hAnsi="Times New Roman;Times;Serif"/>
          <w:b w:val="false"/>
          <w:i w:val="false"/>
          <w:caps w:val="false"/>
          <w:smallCaps w:val="false"/>
          <w:sz w:val="20"/>
        </w:rPr>
        <w:t>. This Agreement and the rights and obligations hereunder may not be assigned by the Purchaser hereto without the prior written consent of the Company. This Agreement shall be binding upon and shall inure to the benefit of the parties hereto and their respective successors and permitted assigns.</w:t>
      </w:r>
    </w:p>
    <w:p>
      <w:pPr>
        <w:pStyle w:val="TextBody"/>
        <w:shd w:fill="FFFFFF" w:val="clear"/>
        <w:bidi w:val="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pPr>
      <w:r>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section headings contained in this Agreement are inserted for reference purposes only and shall not affect in any way the meaning, construction or interpretation of this Agreement. Any reference to the masculine, feminine, or neuter gender shall be a reference to such other gender as is appropriate. References to the singular shall include the plural and vice versa.</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each of which when so executed shall be deemed to be an original and, all of which taken together shall constitute one and the same Agreement and shall become effective when counterparts have been signed by each party and delivered to the other parties hereto, it being understood that all parties need not sign the same counterpart. In the event that any signature is delivered by facsimile transmission, such signature shall create a valid binding obligation of the party executing (or on whose behalf such signature is executed) the same with the same force and effect as if such facsimile signature were the original thereof.</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3</w:t>
            </w:r>
          </w:p>
        </w:tc>
      </w:tr>
    </w:tbl>
    <w:p>
      <w:pPr>
        <w:pStyle w:val="TextBody"/>
        <w:bidi w:val="0"/>
        <w:spacing w:before="0" w:after="0"/>
        <w:ind w:left="0" w:right="0" w:hanging="0"/>
        <w:jc w:val="left"/>
        <w:rPr/>
      </w:pPr>
      <w:r>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date first written above herein.</w:t>
      </w:r>
    </w:p>
    <w:p>
      <w:pPr>
        <w:pStyle w:val="TextBody"/>
        <w:shd w:fill="FFFFFF" w:val="clear"/>
        <w:bidi w:val="0"/>
        <w:jc w:val="both"/>
        <w:rPr>
          <w:caps w:val="false"/>
          <w:smallCaps w:val="false"/>
        </w:rPr>
      </w:pPr>
      <w:r>
        <w:rPr>
          <w:caps w:val="false"/>
          <w:smallCaps w:val="false"/>
        </w:rPr>
        <w:t> </w:t>
      </w:r>
    </w:p>
    <w:tbl>
      <w:tblPr>
        <w:tblW w:w="3904" w:type="dxa"/>
        <w:jc w:val="left"/>
        <w:tblInd w:w="0" w:type="dxa"/>
        <w:tblLayout w:type="fixed"/>
        <w:tblCellMar>
          <w:top w:w="0" w:type="dxa"/>
          <w:left w:w="0" w:type="dxa"/>
          <w:bottom w:w="0" w:type="dxa"/>
          <w:right w:w="0" w:type="dxa"/>
        </w:tblCellMar>
      </w:tblPr>
      <w:tblGrid>
        <w:gridCol w:w="75"/>
        <w:gridCol w:w="488"/>
        <w:gridCol w:w="3341"/>
      </w:tblGrid>
      <w:tr>
        <w:trPr/>
        <w:tc>
          <w:tcPr>
            <w:tcW w:w="75" w:type="dxa"/>
            <w:tcBorders/>
            <w:vAlign w:val="center"/>
          </w:tcPr>
          <w:p>
            <w:pPr>
              <w:pStyle w:val="TableContents"/>
              <w:bidi w:val="0"/>
              <w:spacing w:before="0" w:after="283"/>
              <w:jc w:val="both"/>
              <w:rPr/>
            </w:pPr>
            <w:r>
              <w:rPr/>
              <w:t> </w:t>
            </w:r>
          </w:p>
        </w:tc>
        <w:tc>
          <w:tcPr>
            <w:tcW w:w="382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ZW DATA ACTION TECHNOLOGIES INC.</w:t>
            </w:r>
          </w:p>
        </w:tc>
      </w:tr>
      <w:tr>
        <w:trPr/>
        <w:tc>
          <w:tcPr>
            <w:tcW w:w="75" w:type="dxa"/>
            <w:tcBorders/>
            <w:vAlign w:val="center"/>
          </w:tcPr>
          <w:p>
            <w:pPr>
              <w:pStyle w:val="TableContents"/>
              <w:bidi w:val="0"/>
              <w:spacing w:before="0" w:after="283"/>
              <w:jc w:val="both"/>
              <w:rPr/>
            </w:pPr>
            <w:r>
              <w:rPr/>
              <w:t> </w:t>
            </w:r>
          </w:p>
        </w:tc>
        <w:tc>
          <w:tcPr>
            <w:tcW w:w="488" w:type="dxa"/>
            <w:tcBorders/>
            <w:vAlign w:val="center"/>
          </w:tcPr>
          <w:p>
            <w:pPr>
              <w:pStyle w:val="TableContents"/>
              <w:bidi w:val="0"/>
              <w:spacing w:before="0" w:after="283"/>
              <w:jc w:val="both"/>
              <w:rPr/>
            </w:pPr>
            <w:r>
              <w:rPr/>
              <w:t> </w:t>
            </w:r>
          </w:p>
        </w:tc>
        <w:tc>
          <w:tcPr>
            <w:tcW w:w="3341" w:type="dxa"/>
            <w:tcBorders/>
            <w:vAlign w:val="center"/>
          </w:tcPr>
          <w:p>
            <w:pPr>
              <w:pStyle w:val="TableContents"/>
              <w:bidi w:val="0"/>
              <w:jc w:val="both"/>
              <w:rPr>
                <w:caps w:val="false"/>
                <w:smallCaps w:val="false"/>
              </w:rPr>
            </w:pPr>
            <w:r>
              <w:rPr>
                <w:caps w:val="false"/>
                <w:smallCaps w:val="false"/>
              </w:rPr>
              <w:t> </w:t>
            </w:r>
          </w:p>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4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341"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Handong Cheng</w:t>
            </w:r>
          </w:p>
        </w:tc>
      </w:tr>
      <w:tr>
        <w:trPr/>
        <w:tc>
          <w:tcPr>
            <w:tcW w:w="75" w:type="dxa"/>
            <w:tcBorders/>
            <w:vAlign w:val="center"/>
          </w:tcPr>
          <w:p>
            <w:pPr>
              <w:pStyle w:val="TableContents"/>
              <w:bidi w:val="0"/>
              <w:spacing w:before="0" w:after="283"/>
              <w:jc w:val="both"/>
              <w:rPr/>
            </w:pPr>
            <w:r>
              <w:rPr/>
              <w:t> </w:t>
            </w:r>
          </w:p>
        </w:tc>
        <w:tc>
          <w:tcPr>
            <w:tcW w:w="488" w:type="dxa"/>
            <w:tcBorders/>
            <w:vAlign w:val="center"/>
          </w:tcPr>
          <w:p>
            <w:pPr>
              <w:pStyle w:val="TableContents"/>
              <w:bidi w:val="0"/>
              <w:spacing w:before="0" w:after="283"/>
              <w:jc w:val="both"/>
              <w:rPr/>
            </w:pPr>
            <w:r>
              <w:rPr/>
              <w:t> </w:t>
            </w:r>
          </w:p>
        </w:tc>
        <w:tc>
          <w:tcPr>
            <w:tcW w:w="33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Handong Cheng</w:t>
            </w:r>
          </w:p>
        </w:tc>
      </w:tr>
      <w:tr>
        <w:trPr/>
        <w:tc>
          <w:tcPr>
            <w:tcW w:w="75" w:type="dxa"/>
            <w:tcBorders/>
            <w:vAlign w:val="center"/>
          </w:tcPr>
          <w:p>
            <w:pPr>
              <w:pStyle w:val="TableContents"/>
              <w:bidi w:val="0"/>
              <w:spacing w:before="0" w:after="283"/>
              <w:jc w:val="both"/>
              <w:rPr/>
            </w:pPr>
            <w:r>
              <w:rPr/>
              <w:t> </w:t>
            </w:r>
          </w:p>
        </w:tc>
        <w:tc>
          <w:tcPr>
            <w:tcW w:w="488" w:type="dxa"/>
            <w:tcBorders/>
            <w:vAlign w:val="center"/>
          </w:tcPr>
          <w:p>
            <w:pPr>
              <w:pStyle w:val="TableContents"/>
              <w:bidi w:val="0"/>
              <w:spacing w:before="0" w:after="283"/>
              <w:jc w:val="both"/>
              <w:rPr/>
            </w:pPr>
            <w:r>
              <w:rPr/>
              <w:t> </w:t>
            </w:r>
          </w:p>
        </w:tc>
        <w:tc>
          <w:tcPr>
            <w:tcW w:w="33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  Chief Executive Officer</w:t>
            </w:r>
          </w:p>
        </w:tc>
      </w:tr>
      <w:tr>
        <w:trPr/>
        <w:tc>
          <w:tcPr>
            <w:tcW w:w="75" w:type="dxa"/>
            <w:tcBorders/>
            <w:vAlign w:val="center"/>
          </w:tcPr>
          <w:p>
            <w:pPr>
              <w:pStyle w:val="TableContents"/>
              <w:bidi w:val="0"/>
              <w:spacing w:before="0" w:after="283"/>
              <w:jc w:val="both"/>
              <w:rPr/>
            </w:pPr>
            <w:r>
              <w:rPr/>
              <w:t> </w:t>
            </w:r>
          </w:p>
        </w:tc>
        <w:tc>
          <w:tcPr>
            <w:tcW w:w="488" w:type="dxa"/>
            <w:tcBorders/>
            <w:vAlign w:val="center"/>
          </w:tcPr>
          <w:p>
            <w:pPr>
              <w:pStyle w:val="TableContents"/>
              <w:bidi w:val="0"/>
              <w:spacing w:before="0" w:after="283"/>
              <w:jc w:val="both"/>
              <w:rPr/>
            </w:pPr>
            <w:r>
              <w:rPr/>
              <w:t> </w:t>
            </w:r>
          </w:p>
        </w:tc>
        <w:tc>
          <w:tcPr>
            <w:tcW w:w="334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829" w:type="dxa"/>
            <w:gridSpan w:val="2"/>
            <w:tcBorders/>
            <w:vAlign w:val="center"/>
          </w:tcPr>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w:t>
            </w:r>
          </w:p>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VIVIDHORIZON TRUST</w:t>
            </w:r>
          </w:p>
        </w:tc>
      </w:tr>
      <w:tr>
        <w:trPr/>
        <w:tc>
          <w:tcPr>
            <w:tcW w:w="75" w:type="dxa"/>
            <w:tcBorders/>
            <w:vAlign w:val="center"/>
          </w:tcPr>
          <w:p>
            <w:pPr>
              <w:pStyle w:val="TableContents"/>
              <w:bidi w:val="0"/>
              <w:spacing w:before="0" w:after="283"/>
              <w:jc w:val="both"/>
              <w:rPr/>
            </w:pPr>
            <w:r>
              <w:rPr/>
              <w:t> </w:t>
            </w:r>
          </w:p>
        </w:tc>
        <w:tc>
          <w:tcPr>
            <w:tcW w:w="38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488" w:type="dxa"/>
            <w:tcBorders/>
            <w:vAlign w:val="center"/>
          </w:tcPr>
          <w:p>
            <w:pPr>
              <w:pStyle w:val="TableContents"/>
              <w:bidi w:val="0"/>
              <w:spacing w:before="0" w:after="283"/>
              <w:jc w:val="both"/>
              <w:rPr/>
            </w:pPr>
            <w:r>
              <w:rPr/>
              <w:t> </w:t>
            </w:r>
          </w:p>
        </w:tc>
        <w:tc>
          <w:tcPr>
            <w:tcW w:w="33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4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w:t>
            </w:r>
          </w:p>
        </w:tc>
        <w:tc>
          <w:tcPr>
            <w:tcW w:w="3341"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Doris Chen</w:t>
            </w:r>
          </w:p>
        </w:tc>
      </w:tr>
      <w:tr>
        <w:trPr/>
        <w:tc>
          <w:tcPr>
            <w:tcW w:w="75" w:type="dxa"/>
            <w:tcBorders/>
            <w:vAlign w:val="center"/>
          </w:tcPr>
          <w:p>
            <w:pPr>
              <w:pStyle w:val="TableContents"/>
              <w:bidi w:val="0"/>
              <w:spacing w:before="0" w:after="283"/>
              <w:jc w:val="both"/>
              <w:rPr/>
            </w:pPr>
            <w:r>
              <w:rPr/>
              <w:t> </w:t>
            </w:r>
          </w:p>
        </w:tc>
        <w:tc>
          <w:tcPr>
            <w:tcW w:w="488" w:type="dxa"/>
            <w:tcBorders/>
            <w:vAlign w:val="center"/>
          </w:tcPr>
          <w:p>
            <w:pPr>
              <w:pStyle w:val="TableContents"/>
              <w:bidi w:val="0"/>
              <w:spacing w:before="0" w:after="283"/>
              <w:jc w:val="both"/>
              <w:rPr/>
            </w:pPr>
            <w:r>
              <w:rPr/>
              <w:t> </w:t>
            </w:r>
          </w:p>
        </w:tc>
        <w:tc>
          <w:tcPr>
            <w:tcW w:w="33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Doris Chen</w:t>
            </w:r>
          </w:p>
        </w:tc>
      </w:tr>
      <w:tr>
        <w:trPr/>
        <w:tc>
          <w:tcPr>
            <w:tcW w:w="75" w:type="dxa"/>
            <w:tcBorders/>
            <w:vAlign w:val="center"/>
          </w:tcPr>
          <w:p>
            <w:pPr>
              <w:pStyle w:val="TableContents"/>
              <w:bidi w:val="0"/>
              <w:spacing w:before="0" w:after="283"/>
              <w:jc w:val="both"/>
              <w:rPr/>
            </w:pPr>
            <w:r>
              <w:rPr/>
              <w:t> </w:t>
            </w:r>
          </w:p>
        </w:tc>
        <w:tc>
          <w:tcPr>
            <w:tcW w:w="488" w:type="dxa"/>
            <w:tcBorders/>
            <w:vAlign w:val="center"/>
          </w:tcPr>
          <w:p>
            <w:pPr>
              <w:pStyle w:val="TableContents"/>
              <w:bidi w:val="0"/>
              <w:spacing w:before="0" w:after="283"/>
              <w:jc w:val="both"/>
              <w:rPr/>
            </w:pPr>
            <w:r>
              <w:rPr/>
              <w:t> </w:t>
            </w:r>
          </w:p>
        </w:tc>
        <w:tc>
          <w:tcPr>
            <w:tcW w:w="33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 Chief Operating Officer</w:t>
            </w:r>
          </w:p>
        </w:tc>
      </w:tr>
    </w:tbl>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 w:name="exh_105.htm"/>
      <w:bookmarkStart w:id="33" w:name="ksexh_105"/>
      <w:bookmarkEnd w:id="32"/>
      <w:bookmarkEnd w:id="33"/>
      <w:r>
        <w:rPr>
          <w:rFonts w:ascii="Times New Roman;Times;Serif" w:hAnsi="Times New Roman;Times;Serif"/>
          <w:b/>
          <w:i w:val="false"/>
          <w:caps w:val="false"/>
          <w:smallCaps w:val="false"/>
          <w:sz w:val="20"/>
        </w:rPr>
        <w:t>Exhibit 10.5</w:t>
      </w:r>
      <w:r>
        <w:br w:type="page"/>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May 13, 2025 by and among ZW Data Action Technologies Inc., a Nevada corporation (NASDAQ: CNET)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Chaucer Investment &amp; Consulting Limited, a Hong Kong business company (Business Registration Number: 50180682) (the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Purchase and Sale of Common Stock </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Purchase and Sale of Common Stock</w:t>
      </w:r>
      <w:r>
        <w:rPr>
          <w:rFonts w:ascii="Times New Roman;Times;Serif" w:hAnsi="Times New Roman;Times;Serif"/>
          <w:b w:val="false"/>
          <w:i w:val="false"/>
          <w:caps w:val="false"/>
          <w:smallCaps w:val="false"/>
          <w:sz w:val="20"/>
        </w:rPr>
        <w:t>. Upon the following terms and conditions, the Company is offering to the Purchaser 132,400 shares of common stock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Purchase Price and Closing.</w:t>
      </w:r>
      <w:r>
        <w:rPr>
          <w:rFonts w:ascii="Times New Roman;Times;Serif" w:hAnsi="Times New Roman;Times;Serif"/>
          <w:b w:val="false"/>
          <w:i w:val="false"/>
          <w:caps w:val="false"/>
          <w:smallCaps w:val="false"/>
          <w:sz w:val="20"/>
        </w:rPr>
        <w:t xml:space="preserve"> Subject to the terms and conditions hereof, the Company agrees to issue and sell to the Purchaser and, in consideration of and in express reliance upon the representations, warranties, covenants, terms and conditions of this Agreement, the Purchaser agrees to purchase the Shares for $2.1 per Share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for an aggregate purchase price of $278,040. The Purchaser shall pay the Purchase Price in full at closing which shall take place at the offices of Loeb &amp; Loeb, LLP, 345 Park Avenue, New York, NY 10154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on the date mutually agreed to by the parties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Subject to the terms and conditions of this Agreement, at the Closing, the Company shall deliver or cause to be delivered to Purchaser (x) a certificate for the number of Shares subscribed for and (</w:t>
      </w:r>
      <w:r>
        <w:rPr>
          <w:rFonts w:ascii="SimSun" w:hAnsi="SimSun"/>
          <w:b w:val="false"/>
          <w:i w:val="false"/>
          <w:caps w:val="false"/>
          <w:smallCaps w:val="false"/>
          <w:sz w:val="20"/>
        </w:rPr>
        <w:t>y</w:t>
      </w:r>
      <w:r>
        <w:rPr>
          <w:rFonts w:ascii="Times New Roman;Times;Serif" w:hAnsi="Times New Roman;Times;Serif"/>
          <w:b w:val="false"/>
          <w:i w:val="false"/>
          <w:caps w:val="false"/>
          <w:smallCaps w:val="false"/>
          <w:sz w:val="20"/>
        </w:rPr>
        <w:t>) any other documents required to be delivered pursuant to Article IV hereof.</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Representations and Warranties of the Company, its Subsidiaries and the PRC Operating Entities</w:t>
      </w:r>
      <w:r>
        <w:rPr>
          <w:rFonts w:ascii="Times New Roman;Times;Serif" w:hAnsi="Times New Roman;Times;Serif"/>
          <w:b w:val="false"/>
          <w:i w:val="false"/>
          <w:caps w:val="false"/>
          <w:smallCaps w:val="false"/>
          <w:sz w:val="20"/>
        </w:rPr>
        <w:t>. The Company hereby represents and warrants to the Purchaser on behalf of itself, its Subsidiaries (as hereinafter defined) and the PRC Operating Entities (as hereinafter defined), as of the date hereof, as follows: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Good Standing and Power</w:t>
      </w:r>
      <w:r>
        <w:rPr>
          <w:rFonts w:ascii="Times New Roman;Times;Serif" w:hAnsi="Times New Roman;Times;Serif"/>
          <w:b w:val="false"/>
          <w:i w:val="false"/>
          <w:caps w:val="false"/>
          <w:smallCaps w:val="false"/>
          <w:sz w:val="20"/>
        </w:rPr>
        <w:t>. Each of the Company, its Subsidiaries and the PRC Operating Entities is a corporation or other entity duly incorporated or otherwise organized, validly existing and in good standing under the laws of its jurisdiction of incorporation or organization (as applicable) and has the requisite corporate power to own, lease and operate its properties and assets and to conduct its business as it is now being conducted. Each of the Company, its Subsidiaries and the PRC Operating Entities is duly qualified to do business and is in good standing in every jurisdiction in which the nature of the business conducted or property owned by it makes such qualification necessary except for any jurisdiction(s) (alone or in the aggregate) in which the failure to be so qualified will not have a Material Adverse Effect (as defined in Section 2.1(g) hereof) on the Company’s consolidated financial condition.</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Corporate Power; Authority and Enforcement</w:t>
      </w:r>
      <w:r>
        <w:rPr>
          <w:rFonts w:ascii="Times New Roman;Times;Serif" w:hAnsi="Times New Roman;Times;Serif"/>
          <w:b w:val="false"/>
          <w:i w:val="false"/>
          <w:caps w:val="false"/>
          <w:smallCaps w:val="false"/>
          <w:sz w:val="20"/>
        </w:rPr>
        <w:t xml:space="preserve">. The Company has the requisite corporate power and authority to enter into and perform this Agreement and the Lock-Up Agreement, attached hereto as </w:t>
      </w:r>
      <w:r>
        <w:rPr>
          <w:rFonts w:ascii="Times New Roman;Times;Serif" w:hAnsi="Times New Roman;Times;Serif"/>
          <w:b w:val="false"/>
          <w:i w:val="false"/>
          <w:caps w:val="false"/>
          <w:smallCaps w:val="false"/>
          <w:sz w:val="20"/>
          <w:u w:val="single"/>
        </w:rPr>
        <w:t xml:space="preserve">Exhibit A </w:t>
      </w:r>
      <w:r>
        <w:rPr>
          <w:rFonts w:ascii="Times New Roman;Times;Serif" w:hAnsi="Times New Roman;Times;Serif"/>
          <w:b w:val="false"/>
          <w:i w:val="false"/>
          <w:caps w:val="false"/>
          <w:smallCaps w:val="false"/>
          <w:sz w:val="20"/>
        </w:rPr>
        <w:t>(collectively, the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”),and to issue and sell the Shares in accordance with the terms hereof. The execution, delivery and performance of the Transaction Documents by the Company and the consummation by it of the transactions contemplated hereby and thereby have been duly and validly authorized by all necessary corporate action, and no further consent or authorization of the Company or its Board of Directors or stockholders is required. Each of the Transaction Documents constitutes, or shall constitute when executed and delivered, a valid and binding obligation of the Company enforceable against the Company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authorized capital stock of the Company and the shares thereof currently issued and outstanding as of the date hereof is set forth in the Company’s filings made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All of the issued and outstanding shares of common stock of the Company have been duly and validly authorized. The offer and sale of all capital stock, convertible securities, rights, warrants, or options of the Company issued prior to the Closing complied with all applicable Federal and state securities laws.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Shares</w:t>
      </w:r>
      <w:r>
        <w:rPr>
          <w:rFonts w:ascii="Times New Roman;Times;Serif" w:hAnsi="Times New Roman;Times;Serif"/>
          <w:b w:val="false"/>
          <w:i w:val="false"/>
          <w:caps w:val="false"/>
          <w:smallCaps w:val="false"/>
          <w:sz w:val="20"/>
        </w:rPr>
        <w:t>. The Shares to be issued at the Closing have been duly authorized by all necessary corporate action and the Shares, when paid for or issued in accordance with the terms hereof, will be validly issued and outstanding, fully paid and nonassessable and, immediately after the Closing, the Purchaser will be the record and beneficial owners of all of such securities and have good and valid title to all of such securities, free and clear of all encumbrances.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There are no outstanding preemptive, conversion or other rights, options, warrants or agreements granted or issued by or binding upon any Subsidiary for the purchase or acquisition of any shares of capital stock of any Subsidiary or any other securities convertible into, exchangeable for or evidencing the rights to subscribe for any shares of such capital stock. Neither the Company nor any Subsidiary is subject to any obligation (contingent or otherwise) to repurchase or otherwise acquire or retire any shares of the capital stock of any Subsidiary or any convertible securities, rights, warrants or options of the type described in the preceding sentence. Except as filed as exhibits with the Commission, neither the Company nor any Subsidiary is party to, nor has any knowledge of, any agreement restricting the voting or transfer of any shares of the capital stock of any Subsidiary. For the purposes of this Agreement,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shall mean any corporation or other entity of which at least a majority of the securities or other ownership interests having ordinary voting power (absolutely or contingently) for the election of directors or other persons performing similar functions are at the time owned directly or indirectly by the Company and/or any of its other Subsidiaries. All of the outstanding shares of capital stock of each Subsidiary has been duly authorized and validly issued, and are fully paid and nonassessable.</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Commission Documents,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it with the Commission pursuant to the reporting requirements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including material filed pursuant to Section 13(a) or 15(d) of the Exchange Act (all of the foregoing including filings incorporated by reference therein being referred to herein as the “</w:t>
      </w:r>
      <w:r>
        <w:rPr>
          <w:rFonts w:ascii="Times New Roman;Times;Serif" w:hAnsi="Times New Roman;Times;Serif"/>
          <w:b w:val="false"/>
          <w:i w:val="false"/>
          <w:caps w:val="false"/>
          <w:smallCaps w:val="false"/>
          <w:sz w:val="20"/>
          <w:u w:val="single"/>
        </w:rPr>
        <w:t>Commission Documents</w:t>
      </w:r>
      <w:r>
        <w:rPr>
          <w:rFonts w:ascii="Times New Roman;Times;Serif" w:hAnsi="Times New Roman;Times;Serif"/>
          <w:b w:val="false"/>
          <w:i w:val="false"/>
          <w:caps w:val="false"/>
          <w:smallCaps w:val="false"/>
          <w:sz w:val="20"/>
        </w:rPr>
        <w:t>”). The Company has not provided to the Purchaser any material non-public information or other information which, according to applicable law, rule or regulation, was required to have been disclosed publicly by the Company but which has not been so disclosed, other than (i) with respect to the transactions contemplated by this Agreement, or (ii) pursuant to a non-disclosure or confidentiality agreement signed by the Purchaser. At the time of the respective filings, the Form 10-K’s and the Form 10-Q’s complied in all material respects with the requirements of the Exchange Act and the rules and regulations of the Commission promulgated thereunder and other federal, state and local laws, rules and regulations applicable to such documents. As of their respective filing dates, none of the Form 10-K’s or Form 10-Q’s contained any untrue statement of a material fact; and none omitted to state a material fact required to be stated therein or necessary in order to make the statements therein, in light of the circumstances under which they were made, not misleading. The financial statements of the Company included in the Commission Documents (the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comply as to form in all material respects with applicable accounting requirements and the published rules and regulations of the Commission or other applicable rules and regulations with respect thereto. The Financial Statements have been prepared in accordance with United States generally accepted accounting principles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applied on a consistent basis during the periods involved (except (i) as may be otherwise indicated in the Financial Statements or the notes thereto or (ii) in the case of unaudited interim statements, to the extent they may not include footnotes or may be condensed or summary statements), and fairly present in all material respects the consolidated financial position of the Company as of the dates thereof and the results of operations and cash flows for the periods then ended (subject, in the case of unaudited statements, to normal year-end audit adjustments).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Since May 13, 2025, neither the Company, the Subsidiaries, nor the PRC Operating Entities has experienced or suffered any Material Adverse Effect. For the purposes of this Agreement,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any material adverse effect on the business, operations, properties, or financial condition of the Company, its Subsidiaries, the PRC Operating Entities, individually, or in the aggregate and/or any condition, circumstance, or situation that would prohibit or otherwise materially interfere with the ability of the Company to perform any of its obligations under this Agreement in any material respect.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 Undisclosed Liabilities</w:t>
      </w:r>
      <w:r>
        <w:rPr>
          <w:rFonts w:ascii="Times New Roman;Times;Serif" w:hAnsi="Times New Roman;Times;Serif"/>
          <w:b w:val="false"/>
          <w:i w:val="false"/>
          <w:caps w:val="false"/>
          <w:smallCaps w:val="false"/>
          <w:sz w:val="20"/>
        </w:rPr>
        <w:t>. Other than as set forth in the Commission Documents, to the knowledge of the Company, neither the Company, the Subsidiaries, nor the PRC Operating Entities has any liabilities, obligations, claims or losses (whether liquidated or unliquidated, secured or unsecured, absolute, accrued, contingent or otherwise) other than those incurred in the ordinary course of the Company’s, the Subsidiaries’ and the PRC Operating Entities’ respective businesses since May 13, 2025 and which, individually or in the aggregate, do not or would not have a Material Adverse Effect on the Company, the Subsidiaries or the PRC Operating Entities.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Undisclosed Events or Circumstances</w:t>
      </w:r>
      <w:r>
        <w:rPr>
          <w:rFonts w:ascii="Times New Roman;Times;Serif" w:hAnsi="Times New Roman;Times;Serif"/>
          <w:b w:val="false"/>
          <w:i w:val="false"/>
          <w:caps w:val="false"/>
          <w:smallCaps w:val="false"/>
          <w:sz w:val="20"/>
        </w:rPr>
        <w:t>. To the Company’s knowledge, no event or circumstance has occurred or exists with respect to the Company, the Subsidiaries or the PRC Operating Entities or their respective businesses, properties, operations or financial condition, which, under applicable law, rule or regulation, requires public disclosure or announcement by the Company but which has not been so publicly announced or disclosed.</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The Financial Statements set forth all outstanding secured and unsecured Indebtedness of the Company on a consolidated basis, or for which the Company, the Subsidiaries or the PRC Operating Entities have commitments as of the date of Financial Statements or any subsequent period that would require disclosure. For the purposes of this Agreement,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shall mean (a) any liabilities for borrowed money or amounts owed in excess of $50,000 (other than trade accounts payable incurred in the ordinary course of business), (b) all guaranties, endorsements and other contingent obligations in respect of Indebtedness of others, whether or not the same should be reflected in the Company’s consolidated balance sheet (or the notes thereto), except guaranties by endorsement of negotiable instruments for deposit or collection or similar transactions in the ordinary course of business; and (c) the present value of any lease payments in excess of $25,000 due under leases required to be capitalized in accordance with GAAP. Neither the Company, the Subsidiaries nor the PRC Operating Entities is in default with respect to any Indebtedness.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Each of the Company, the Subsidiaries and the PRC Operating Entities has good and marketable title to (i) all properties and assets purportedly owned or used by them as reflected in the Financial Statements, (ii) all properties and assets necessary for the conduct of their business as currently conducted, and (iii) all of the real and personal property reflected in the Financial Statements free and clear of any Lien. All leases are valid and subsisting and in full force and effect.</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Actions Pending</w:t>
      </w:r>
      <w:r>
        <w:rPr>
          <w:rFonts w:ascii="Times New Roman;Times;Serif" w:hAnsi="Times New Roman;Times;Serif"/>
          <w:b w:val="false"/>
          <w:i w:val="false"/>
          <w:caps w:val="false"/>
          <w:smallCaps w:val="false"/>
          <w:sz w:val="20"/>
        </w:rPr>
        <w:t>. There is no action, suit, claim, investigation, arbitration, alternate dispute resolution proceeding or any other proceeding pending or, to the knowledge of the Company, threatened against or involving the Company, any Subsidiary or any PRC Operating Entity which questions the validity of this Agreement or any of the other Transaction Documents or the transactions contemplated hereby or any action taken or to be taken pursuant hereto or thereto.</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Compliance with Law</w:t>
      </w:r>
      <w:r>
        <w:rPr>
          <w:rFonts w:ascii="Times New Roman;Times;Serif" w:hAnsi="Times New Roman;Times;Serif"/>
          <w:b w:val="false"/>
          <w:i w:val="false"/>
          <w:caps w:val="false"/>
          <w:smallCaps w:val="false"/>
          <w:sz w:val="20"/>
        </w:rPr>
        <w:t>. The Company, the Subsidiaries and the PRC Operating Entities have all material franchises, permits, licenses, consents and other governmental or regulatory authorizations and approvals necessary for the conduct of their respective business as now being conducted by it unless the failure to possess such franchises, permits, licenses, consents and other governmental or regulatory authorizations and approvals, individually or in the aggregate, could not reasonably be expected to have a Material Adverse Effect.</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No Violation.</w:t>
      </w:r>
      <w:r>
        <w:rPr>
          <w:rFonts w:ascii="Times New Roman;Times;Serif" w:hAnsi="Times New Roman;Times;Serif"/>
          <w:b w:val="false"/>
          <w:i w:val="false"/>
          <w:caps w:val="false"/>
          <w:smallCaps w:val="false"/>
          <w:sz w:val="20"/>
        </w:rPr>
        <w:t xml:space="preserve"> The business of the Company, the Subsidiaries and the PRC Operating Entities is not being conducted in violation of any Federal, state, local or foreign governmental laws, or rules, regulations and ordinances of any of any governmental entity, except for possible violations which singularly or in the aggregate could not reasonably be expected to have a Material Adverse Effect. The Company is not required under Federal, state, local or foreign law, rule or regulation to obtain any consent, authorization or order of, or make any filing or registration with, any court or governmental agency in order for it to execute, deliver or perform any of its obligations under the Transaction Documents, or issue and sell the Shares, in accordance with the terms hereof (other than (x) any consent, authorization or order that has been obtained as of the date hereof, (y) any filing or registration that has been made as of the date hereof or (z) any filings which may be required to be made by the Company with the Commission or state securities administrators subsequent to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the Transaction Documents by the Company and the consummation by the Company of the transactions contemplated herein do not and will not (i) violate any provision of the Company’s Articles of Incorporation or Bylaws, (ii) conflict with, or constitute a default (or an event which with notice or lapse of time or both would become a default) under, or give to others any rights of termination, amendment, acceleration or cancellation of, any agreement, mortgage, deed of trust, indenture, note, bond, license, lease agreement, instrument or obligation to which the Company is a party or by which it or its properties or assets are bound, (iii) create or impose a lien, mortgage, security interest, pledge, charge or encumbrance (collectively, “</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xml:space="preserve">”) of any nature on any property of the Company under any agreement or any commitment to which the Company is a party or by which the Company is bound or by which any of its respective properties or assets are bound, or (iv) result in a violation of any federal, state, local or foreign statute, rule, regulation, order, judgment or decree (including Federal and state securities laws and regulations) applicable to the Company or any of its subsidiaries or by which any property or asset of the Company or any of its subsidiaries are bound or affected,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excluded from the foregoing in all cases are such conflicts, defaults, terminations, amendments, accelerations, cancellations and violations as would not, individually or in the aggregate, have a Material Adverse Effect.</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Each of the Company, the Subsidiaries and the PRC Operating Entities, to the extent its applicable, has accurately prepared and filed all federal, state and other tax returns required by law to be filed by it, has paid or made provisions for the payment of all taxes shown to be due and all additional assessments, and adequate provisions have been and are reflected in the consolidated financial statements of the Company for all current taxes and other charges to which the Company, the Subsidiaries or the PRC Operating Entities, if any, is subject and which are not currently due and payable. None of the federal income tax returns of the Company have been audited by the Internal Revenue Service. The Company has no knowledge of any additional assessments, adjustments or contingent tax liability (whether federal, state or foreign) of any nature whatsoever, whether pending or threatened against the Company or any subsidiary for any period, nor of any basis for any such assessment, adjustment or contingency.</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No brokers fees, finder’s fees or financial advisory fees or commissions will be payable by the Company with respect to the transactions contemplated by this Agreement and the other Transaction Documents.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Neither this Agreement nor any other documents, certificates or instruments furnished to the Purchaser by or on behalf of the Company, the Subsidiaries or the PRC Operating Entities in connection with the transactions contemplated by this Agreement contain any untrue statement of a material fact or omit to state a material fact necessary in order to make the statements made herein or therein, taken as a whole and in the light of the circumstances under which they were made herein or therein, not false or misleading.</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Each of the Company, the Subsidiaries and the PRC Operating Entities, owns or has the lawful right to use all patents, trademarks, domain names (whether or not registered) and any patentable improvements or copyrightable derivative works thereof, websites and intellectual property rights relating thereto, service marks, trade names, copyrights, licenses and authorizations, if any, and all rights with respect to the foregoing, if any, which are necessary for the conduct of their respective business as now conducted without any conflict with the rights of others, except where the failure to so own or possess would not have a Material Adverse Effect.</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Books and Record Internal Accounting Controls</w:t>
      </w:r>
      <w:r>
        <w:rPr>
          <w:rFonts w:ascii="Times New Roman;Times;Serif" w:hAnsi="Times New Roman;Times;Serif"/>
          <w:b w:val="false"/>
          <w:i w:val="false"/>
          <w:caps w:val="false"/>
          <w:smallCaps w:val="false"/>
          <w:sz w:val="20"/>
        </w:rPr>
        <w:t>. Except as may have otherwise been disclosed in the Commission Documents, the books and records of the Company, the Subsidiaries and the PRC Operating Entities accurately reflect in all material respects the information relating to the business of the Company, the Subsidiaries and the PRC Operating Entities, the location and collection of their assets, and the nature of all transactions giving rise to the obligations or accounts receivable of the Company, the Subsidiaries or the PRC Operating Entities. Except as disclosed in the Commission Documents, the Company, the Subsidiaries and the PRC Operating Entities maintain a system of internal accounting controls sufficient, in the judgment of the Company,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actions are taken with respect to any differences.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Material Agreements</w:t>
      </w:r>
      <w:r>
        <w:rPr>
          <w:rFonts w:ascii="Times New Roman;Times;Serif" w:hAnsi="Times New Roman;Times;Serif"/>
          <w:b w:val="false"/>
          <w:i w:val="false"/>
          <w:caps w:val="false"/>
          <w:smallCaps w:val="false"/>
          <w:sz w:val="20"/>
        </w:rPr>
        <w:t>. Any and all written or oral contracts, instruments, agreements, commitments, obligations, plans or arrangements, the Company, the Subsidiaries and the PRC Operating Entities is a party to, that a copy of which would be required to be filed with the Commission as an exhibit to a registration statement on Form S-1 (collectively, the “</w:t>
      </w:r>
      <w:r>
        <w:rPr>
          <w:rFonts w:ascii="Times New Roman;Times;Serif" w:hAnsi="Times New Roman;Times;Serif"/>
          <w:b w:val="false"/>
          <w:i w:val="false"/>
          <w:caps w:val="false"/>
          <w:smallCaps w:val="false"/>
          <w:sz w:val="20"/>
          <w:u w:val="single"/>
        </w:rPr>
        <w:t>Material Agreements</w:t>
      </w:r>
      <w:r>
        <w:rPr>
          <w:rFonts w:ascii="Times New Roman;Times;Serif" w:hAnsi="Times New Roman;Times;Serif"/>
          <w:b w:val="false"/>
          <w:i w:val="false"/>
          <w:caps w:val="false"/>
          <w:smallCaps w:val="false"/>
          <w:sz w:val="20"/>
        </w:rPr>
        <w:t>”) if the Company or any subsidiary were registering securities under the Securities Act has previously been publicly filed with the Commission in the Commission Documents. Each of the Company, the Subsidiaries and the PRC Operating Entities has in all material respects performed all the obligations required to be performed by them to date under the foregoing agreements, have received no notice of default and are not in default under any Material Agreement now in effect the result of which would cause a Material Adverse Effect.</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Except as set forth in the Financial Statements or in the Commission Documents, there are no loans, leases, agreements, contracts, royalty agreements, management contracts or arrangements or other continuing transactions between (a) the Company or any Subsidiary on the one hand, and (b) on the other hand, any officer, employee, consultant or director of the Company, or any of Subsidiaries, or any person owning any capital stock of the Company or any Subsidiary or any member of the immediate family of such officer, employee, consultant, director or stockholder or any corporation or other entity controlled by such officer, employee, consultant, director or stockholder, or a member of the immediate family of such officer, employee, consultant, director or stockholder.</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Securities Act of 1933</w:t>
      </w:r>
      <w:r>
        <w:rPr>
          <w:rFonts w:ascii="Times New Roman;Times;Serif" w:hAnsi="Times New Roman;Times;Serif"/>
          <w:b w:val="false"/>
          <w:i w:val="false"/>
          <w:caps w:val="false"/>
          <w:smallCaps w:val="false"/>
          <w:sz w:val="20"/>
        </w:rPr>
        <w:t>. Assuming the accuracy of the representations of the Purchaser set forth in Section 2.2 hereof, the Company has complied and will comply with all applicable federal and state securities laws in connection with the offer, issuance and sale of the Shares hereunder. Neither the Company nor anyone acting on its behalf, directly or indirectly, has or will sell, offer to sell or solicit offers to buy any of the Shares, or solicit offers with respect thereto from, or enter into any preliminary conversations or negotiations relating thereto with, any person, or has taken or will take any action so as to bring the issuance and sale of any of the Shares in violation of the registration provisions of the Securities Act and applicable state securities laws, and neither the Company nor any of its affiliates, nor any person acting on its or their behalf, has engaged in any form of general solicitation or general advertising (within the meaning of Regulation D under the Securities Act) in connection with the offer or sale of any of the Shares.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Governmental Approvals</w:t>
      </w:r>
      <w:r>
        <w:rPr>
          <w:rFonts w:ascii="Times New Roman;Times;Serif" w:hAnsi="Times New Roman;Times;Serif"/>
          <w:b w:val="false"/>
          <w:i w:val="false"/>
          <w:caps w:val="false"/>
          <w:smallCaps w:val="false"/>
          <w:sz w:val="20"/>
        </w:rPr>
        <w:t>. Except for the filing of any notice prior or subsequent to the Closing Date that may be required under applicable state and/or Federal securities laws (which if required, shall be filed on a timely basis), no authorization, consent, approval, license, exemption of, filing or registration with any court or governmental department, commission, board, bureau, agency or instrumentality, domestic or foreign, is or will be necessary for, or in connection with, the execution or delivery of the Shares, or for the performance by the Company of its obligations under the Transaction Documents.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Employees</w:t>
      </w:r>
      <w:r>
        <w:rPr>
          <w:rFonts w:ascii="Times New Roman;Times;Serif" w:hAnsi="Times New Roman;Times;Serif"/>
          <w:b w:val="false"/>
          <w:i w:val="false"/>
          <w:caps w:val="false"/>
          <w:smallCaps w:val="false"/>
          <w:sz w:val="20"/>
        </w:rPr>
        <w:t>. Except as disclosed in the Commission Documents, neither the Company nor any subsidiary has any collective bargaining arrangements covering any of its employees. Since November [*], 2024, no officer, consultant or key employee of the Company or any subsidiary whose termination, either individually or in the aggregate, would have a Material Adverse Effect, has terminated or, to the knowledge of the Company, has any present intention of terminating his or her employment or engagement with the Company or any subsidiary.</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Public Utility Holding Company Act; Investment Company Act and U.S. Real Property Holding Corporation Status</w:t>
      </w:r>
      <w:r>
        <w:rPr>
          <w:rFonts w:ascii="Times New Roman;Times;Serif" w:hAnsi="Times New Roman;Times;Serif"/>
          <w:b w:val="false"/>
          <w:i w:val="false"/>
          <w:caps w:val="false"/>
          <w:smallCaps w:val="false"/>
          <w:sz w:val="20"/>
        </w:rPr>
        <w:t>. The Company is not a “holding company” or a “public utility company” as such terms are defined in the Public Utility Holding Company Act of 1935, as amended. The Company is not, and as a result of and immediately upon the Closing will not be, an “investment company” or a company “controlled” by an “investment company,” within the meaning of the Investment Company Act of 1940, as amended. The Company is not and has never been a U.S. real property holding corporation within the meaning of Section 897 of the Internal Revenue Code of 1986, as amended.</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No liability to the Pension Benefit Guaranty Corporation has been incurred with respect to any Plan (as defined below) by the Company or any of its subsidiaries which is or would be materially adverse to the Company and its subsidiaries. The execution and delivery of this Agreement and the other Transaction Documents and the issuance and sale of the Shares will not involve any transaction which is subject to the prohibitions of Section 406 of ERISA or in connection with which a tax could be imposed pursuant to Section 4975 of the Internal Revenue Code of 1986, as amended, provided, that, if the Purchaser, or any person or entity that owns a beneficial interest in the Purchaser, is an “employee pension benefit plan” (within the meaning of Section 3(2) of ERISA) with respect to which the Company is a “party in interest” (within the meaning of Section 3(14) of ERISA), the requirements of Sections 407(d)(5) and 408(e) of ERISA, if applicable, are met. As used in this Section 2.1(bb), the term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shall mean an “employee pension benefit plan” (as defined in Section 3 of ERISA) which is or has been established or maintained, or to which contributions are or have been made, by the Company or any subsidiary or by any trade or business, whether or not incorporated, which, together with the Company or any subsidiary, is under common control, as described in Section 414(b) or (c)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xml:space="preserve"> The Company is in compliance with the applicable provisions of the Sarbanes-Oxley Act of 2002 (the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and the rules and regulations promulgated thereunder, that are effective and for which compliance by the Company is required as of the date hereof.</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Additional PRC Representations and Warranties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material consents, approvals, authorizations or licenses requisite under PRC law for the due and proper establishment and operation of the PRC Operating Entities have been duly obtained from the relevant PRC governmental authorities and are in full force and effect.</w:t>
      </w:r>
    </w:p>
    <w:p>
      <w:pPr>
        <w:pStyle w:val="TextBody"/>
        <w:bidi w:val="0"/>
        <w:spacing w:before="240" w:after="240"/>
        <w:ind w:left="240" w:right="24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filings and registrations with the PRC governmental authorities required in respect of the PRC Operating Entities and their capital structure and operations including, without limitation, to the extent applicable, tax bureau and customs authorities, have been duly completed in accordance with the relevant PRC rules and regulations, except where the failure to complete such filings and registrations does not, and would not, individually or in the aggregate, have a Material Adverse Effect.</w:t>
      </w:r>
    </w:p>
    <w:p>
      <w:pPr>
        <w:pStyle w:val="TextBody"/>
        <w:bidi w:val="0"/>
        <w:spacing w:before="240" w:after="240"/>
        <w:ind w:left="240" w:right="24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Neither the Company, the Subsidiaries, nor any PRC Operating Entity or affiliated entity is in receipt of any letter or notice from any relevant PRC governmental or quasi-governmental authority notifying it of the revocation, or otherwise questioning the validity, of any licenses or qualifications issued to it or any subsidy granted to it by any PRC governmental authority, or the need for compliance or remedial actions in respect of the activities carried out by the Company or such subsidiary.</w:t>
      </w:r>
    </w:p>
    <w:p>
      <w:pPr>
        <w:pStyle w:val="TextBody"/>
        <w:bidi w:val="0"/>
        <w:spacing w:before="240" w:after="240"/>
        <w:ind w:left="240" w:right="24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PRC Operating Entities have conducted their respective business activities within their permitted scope of business or have otherwise operated their respective businesses in compliance with all relevant legal requirements and with all requisite licenses and approvals granted by competent PRC governmental authorities other than such non-compliance that do not, and would not, individually or in the aggregate, have a Material Adverse Effect. As to licenses, approvals and government grants and concessions requisite or material for the conduct of any part of the PRC Operating Entities’ business which is subject to periodic renewal, neither the Company, the Subsidiaries, nor any PRC Operating Entity has any knowledge of any grounds on which such requisite renewals will not be granted by the relevant PRC governmental authorities.</w:t>
      </w:r>
    </w:p>
    <w:p>
      <w:pPr>
        <w:pStyle w:val="TextBody"/>
        <w:bidi w:val="0"/>
        <w:spacing w:before="240" w:after="240"/>
        <w:ind w:left="240" w:right="24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PRC Operating Entities have complied with all applicable PRC laws and regulations in all material respects, including without limitation, laws and regulations pertaining to welfare fund contributions, social benefits, medical benefits, insurance, retirement benefits, pensions or the like.</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No Additional Agreements</w:t>
      </w:r>
      <w:r>
        <w:rPr>
          <w:rFonts w:ascii="Times New Roman;Times;Serif" w:hAnsi="Times New Roman;Times;Serif"/>
          <w:b w:val="false"/>
          <w:i w:val="false"/>
          <w:caps w:val="false"/>
          <w:smallCaps w:val="false"/>
          <w:sz w:val="20"/>
        </w:rPr>
        <w:t>. Neither the Company nor any of its affiliates has any agreement or understanding with the Purchaser with respect to the transactions contemplated by the Transaction Documents other than as specified in the Transaction Documents.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Foreign Corrupt Practices Act</w:t>
      </w:r>
      <w:r>
        <w:rPr>
          <w:rFonts w:ascii="Times New Roman;Times;Serif" w:hAnsi="Times New Roman;Times;Serif"/>
          <w:b w:val="false"/>
          <w:i w:val="false"/>
          <w:caps w:val="false"/>
          <w:smallCaps w:val="false"/>
          <w:sz w:val="20"/>
        </w:rPr>
        <w:t>. Neither the Company, the Subsidiaries, the PRC Operating Entities, nor to the knowledge of the Company, the Subsidiaries, the PRC Operating Entities any agent or other person acting on behalf of the Company, the Subsidiaries or the PRC Operating Entities, has, directly or indirectly, (i) used any funds, or will use any proceeds from the sale of the Shares,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of the Company (or made by any Person acting on their behalf of which the Company is aware) or any members of their respective management which is in violation of any applicable law, or (iv) has violated in any material respect any provision of the Foreign Corrupt Practices Act of 1977, as amended, and the rules and regulations thereunder which was applicable to the Company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PFIC</w:t>
      </w:r>
      <w:r>
        <w:rPr>
          <w:rFonts w:ascii="Times New Roman;Times;Serif" w:hAnsi="Times New Roman;Times;Serif"/>
          <w:b w:val="false"/>
          <w:i w:val="false"/>
          <w:caps w:val="false"/>
          <w:smallCaps w:val="false"/>
          <w:sz w:val="20"/>
        </w:rPr>
        <w:t>. None of the Company or any of its Subsidiaries is or intends to become a “passive foreign investment company” within the meaning of Section 1297 of the U.S. Internal Revenue Code of 1986, as amended.</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None of the Company or any of its Subsidiaries nor, to the knowledge of the Company, any director, officer, agent, employee, affiliate or person acting on behalf of any of the Company or any of its Subsidiaries, is currently subject to any U.S. sanctions administered by the Office of Foreign Assets Control of the U.S. Treasury Department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and the Company will not directly or indirectly use the proceeds of the sale of the Shares, or lend, contribute or otherwise make available such proceeds to any subsidiary of the Company, joint venture partner or other Person or entity, towards any sales or operations in Cuba, Iran, Syria, Sudan, Myanmar or any other country sanctioned by OFAC or for the purpose of financing the activities of any Person currently subject to any U.S. sanctions administered by OFAC.</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The operations of each of the Company, the Subsidiaries and the PRC Operating Entities have been conducted at all times in compliance with the money laundering requirements of all applicable governmental authorities and any related or similar rules, regulations or guidelines, issued, administered or enforced by any governmental authority (collectively, the “Money Laundering Laws”) and no action, suit or proceeding by or before any court or governmental authority or any arbitrator involving any of the Company, the Subsidiaries or the PRC Operating Entities with respect to the Money Laundering Laws is pending or, to the best knowledge of the Company, threatened.</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Representations and Warranties of the Purchaser</w:t>
      </w:r>
      <w:r>
        <w:rPr>
          <w:rFonts w:ascii="Times New Roman;Times;Serif" w:hAnsi="Times New Roman;Times;Serif"/>
          <w:b w:val="false"/>
          <w:i w:val="false"/>
          <w:caps w:val="false"/>
          <w:smallCaps w:val="false"/>
          <w:sz w:val="20"/>
        </w:rPr>
        <w:t>. The Purchaser hereby makes the following representations and warranties to the Company as of the date hereof:</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and Good Standing of the Purchaser</w:t>
      </w:r>
      <w:r>
        <w:rPr>
          <w:rFonts w:ascii="Times New Roman;Times;Serif" w:hAnsi="Times New Roman;Times;Serif"/>
          <w:b w:val="false"/>
          <w:i w:val="false"/>
          <w:caps w:val="false"/>
          <w:smallCaps w:val="false"/>
          <w:sz w:val="20"/>
        </w:rPr>
        <w:t>. If the Purchaser is an entity, the Purchaser is a corporation, partnership or limited liability company duly incorporated or organized, validly existing and in good standing under the laws of the jurisdiction of its incorporation or organization.</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Authorization and Power</w:t>
      </w:r>
      <w:r>
        <w:rPr>
          <w:rFonts w:ascii="Times New Roman;Times;Serif" w:hAnsi="Times New Roman;Times;Serif"/>
          <w:b w:val="false"/>
          <w:i w:val="false"/>
          <w:caps w:val="false"/>
          <w:smallCaps w:val="false"/>
          <w:sz w:val="20"/>
        </w:rPr>
        <w:t>. The Purchaser has the requisite power and authority to enter into and perform this Agreement and each of the other Transaction Documents to which the Purchaser is a party and to purchase the Shares being sold to it hereunder. The execution, delivery and performance of this Agreement and each of the other Transaction Documents to which the Purchaser is a party and the consummation by it of the transactions contemplated hereby have been duly authorized by all necessary corporate, partnership or limited liability company action, and no further consent or authorization of the Purchaser or its Board of Directors, stockholders, partners, members, or managers, as the case may be, is required. This Agreement and each of the other Transaction Documents to which the Purchaser is a party has been duly authorized, executed and delivered by the Purchaser and constitutes, or shall constitute when executed and delivered, a valid and binding obligation of the Purchaser enforceable against the Purchaser in accordance with the terms hereof.</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this Agreement and each of the other Transaction Documents to which the Purchaser is a party and the consummation by the Purchaser of the transactions contemplated hereby and thereby or related hereto do not and will not (i) result in a violation of the Purchaser’s charter documents, bylaws, operating agreement, partnership agreement or other organizational documents or (ii) conflict with, or constitute a default (or an event which with notice or lapse of time or both would become a default) under, or give to others any rights of termination, amendment, acceleration or cancellation of any agreement, indenture or instrument or obligation to which the Purchaser is a party or by which its properties or assets are bound, or result in a violation of any law, rule, or regulation, or any order, judgment or decree of any court or governmental agency applicable to the Purchaser or its properties (except for such conflicts, defaults and violations as would not, individually or in the aggregate, have a material adverse effect on such Purchaser). The Purchaser is not required to obtain any consent, authorization or order of, or make any filing or registration with, any court or governmental agency in order for it to execute, deliver or perform any of its obligations under this Agreement or any other Transaction Document to which the Purchaser is a party or to purchase the Shares in accordance with the terms hereof, provided, that for purposes of the representation made in this sentence, the Purchaser is assuming and relying upon the accuracy of the relevant representations and agreements of the Company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Regulation S</w:t>
      </w:r>
      <w:r>
        <w:rPr>
          <w:rFonts w:ascii="Times New Roman;Times;Serif" w:hAnsi="Times New Roman;Times;Serif"/>
          <w:b w:val="false"/>
          <w:i w:val="false"/>
          <w:caps w:val="false"/>
          <w:smallCaps w:val="false"/>
          <w:sz w:val="20"/>
        </w:rPr>
        <w:t>. The Purchaser is a “non-US person” as defined in Regulation S and shall purchase the Shares in compliance with Regulation 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Acquisition for Investment</w:t>
      </w:r>
      <w:r>
        <w:rPr>
          <w:rFonts w:ascii="Times New Roman;Times;Serif" w:hAnsi="Times New Roman;Times;Serif"/>
          <w:b w:val="false"/>
          <w:i w:val="false"/>
          <w:caps w:val="false"/>
          <w:smallCaps w:val="false"/>
          <w:sz w:val="20"/>
        </w:rPr>
        <w:t>. The Purchaser is acquiring the Shares solely for its own account for the purpose of investment and not with a view to or for sale in connection with a distribution. The Purchaser does not have a present intention to sell the Shares, nor a present arrangement (whether or not legally binding) or intention to effect any distribution of the Shares to or through any person or entity. The Purchaser acknowledges that it is able to bear the financial risks associated with an investment in the Shares and that it has been given full access to such records of the Company, the Subsidiaries and the PRC Operating Entities and to the officers of the Company, the Subsidiaries and the PRC Operating Entities and received such information as it has deemed necessary or appropriate to conduct its due diligence investigation and has sufficient knowledge and experience in investing in companies similar to the Company in terms of the Company’s stage of development so as to be able to evaluate the risks and merits of its investment in the Company. The Purchaser further acknowledges that it understands the risks of investing in companies domiciled and/or which operate primarily in the PRC and that the purchase of the Shares involves substantial risks.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Opportunities for Additional Information</w:t>
      </w:r>
      <w:r>
        <w:rPr>
          <w:rFonts w:ascii="Times New Roman;Times;Serif" w:hAnsi="Times New Roman;Times;Serif"/>
          <w:b w:val="false"/>
          <w:i w:val="false"/>
          <w:caps w:val="false"/>
          <w:smallCaps w:val="false"/>
          <w:sz w:val="20"/>
        </w:rPr>
        <w:t>. The Purchaser acknowledges that it has had the opportunity to ask questions of and receive answers from, or obtain additional information from, the executive officers of the Company concerning the financial and other affairs of the Company.</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The Purchaser acknowledges that the Shares were not offered to the Purchaser by means of any form of general or public solicitation or general advertising, or publicly disseminated advertisements or sales literature, including (i) any advertisement, article, notice or other communication published in any newspaper, magazine, or similar media, or broadcast over television or radio, or (ii) any seminar or meeting to which the Purchaser was invited by any of the foregoing means of communications.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The Purchaser understands that the Shares must be held indefinitely unless such Shares are registered under the Securities Act or an exemption from registration is available. The Purchaser acknowledges that the Purchaser is familiar with Rule 144, of the rules and regulations of the Commission, as amended, promulgated pursuant to the Securities Act (“</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and that such person has been advised that Rule 144 permits resales only under certain circumstances. The Purchaser understands that to the extent that Rule 144 is not available, the Purchaser will be unable to sell any Shares without either registration under the Securities Act or the existence of another exemption from such registration requirement.</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Purchaser understands that the Shares are being offered and sold in reliance on a transactional exemption from the registration requirements of Federal and state securities laws and the Company is relying upon the truth and accuracy of the representations, warranties, agreements, acknowledgments and understandings of the Purchaser set forth herein in order to determine the applicability of such exemptions and the suitability of the Purchaser to acquire the Shares.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No Purchaser has any knowledge of any brokerage or finder’s fees or commissions that are or will be payable by the Company to any broker, financial advisor or consultant, finder, placement agent, investment banker, bank or other person or entity with respect to the transactions contemplated by this Agreement.</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with the Purchaser as follows:</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Securities Compliance</w:t>
      </w:r>
      <w:r>
        <w:rPr>
          <w:rFonts w:ascii="Times New Roman;Times;Serif" w:hAnsi="Times New Roman;Times;Serif"/>
          <w:b w:val="false"/>
          <w:i w:val="false"/>
          <w:caps w:val="false"/>
          <w:smallCaps w:val="false"/>
          <w:sz w:val="20"/>
        </w:rPr>
        <w:t>. The Company shall notify the Commission in accordance with its rules and regulations, of the transactions contemplated by any of the Transaction Documents and shall take all other necessary action and proceedings as may be required and permitted by applicable law, rule and regulation, for the legal and valid issuance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Company shall comply, and cause each Subsidiary to comply in all material respects, with all applicable laws, rules, regulations and orders.</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w:t>
      </w:r>
      <w:r>
        <w:rPr>
          <w:rFonts w:ascii="Times New Roman;Times;Serif" w:hAnsi="Times New Roman;Times;Serif"/>
          <w:b w:val="false"/>
          <w:i w:val="false"/>
          <w:caps w:val="false"/>
          <w:smallCaps w:val="false"/>
          <w:sz w:val="20"/>
          <w:u w:val="single"/>
        </w:rPr>
        <w:t xml:space="preserve"> Reporting Requirements</w:t>
      </w:r>
      <w:r>
        <w:rPr>
          <w:rFonts w:ascii="Times New Roman;Times;Serif" w:hAnsi="Times New Roman;Times;Serif"/>
          <w:b w:val="false"/>
          <w:i w:val="false"/>
          <w:caps w:val="false"/>
          <w:smallCaps w:val="false"/>
          <w:sz w:val="20"/>
        </w:rPr>
        <w:t>. The Company shall comply in all respects with its reporting and filing obligations under the Exchange Act.</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Other Agreements</w:t>
      </w:r>
      <w:r>
        <w:rPr>
          <w:rFonts w:ascii="Times New Roman;Times;Serif" w:hAnsi="Times New Roman;Times;Serif"/>
          <w:b w:val="false"/>
          <w:i w:val="false"/>
          <w:caps w:val="false"/>
          <w:smallCaps w:val="false"/>
          <w:sz w:val="20"/>
        </w:rPr>
        <w:t>. The Company shall not enter into any agreement the terms of which would restrict or impair the ability of the Company to perform its obligations under any Transaction Document.</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w:t>
      </w:r>
      <w:r>
        <w:rPr>
          <w:rFonts w:ascii="Times New Roman;Times;Serif" w:hAnsi="Times New Roman;Times;Serif"/>
          <w:b w:val="false"/>
          <w:i w:val="false"/>
          <w:caps w:val="false"/>
          <w:smallCaps w:val="false"/>
          <w:sz w:val="20"/>
          <w:u w:val="single"/>
        </w:rPr>
        <w:t xml:space="preserve"> Disclosure of Transaction</w:t>
      </w:r>
      <w:r>
        <w:rPr>
          <w:rFonts w:ascii="Times New Roman;Times;Serif" w:hAnsi="Times New Roman;Times;Serif"/>
          <w:b w:val="false"/>
          <w:i w:val="false"/>
          <w:caps w:val="false"/>
          <w:smallCaps w:val="false"/>
          <w:sz w:val="20"/>
        </w:rPr>
        <w:t>. The Company shall file with the Commission, the Form 8-K describing the material terms of the transactions contemplated hereby within four (4) Business Days following the Closing Date.</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Conditions Precedent to the Obligation of the Company to Sell the Shares</w:t>
      </w:r>
      <w:r>
        <w:rPr>
          <w:rFonts w:ascii="Times New Roman;Times;Serif" w:hAnsi="Times New Roman;Times;Serif"/>
          <w:b w:val="false"/>
          <w:i w:val="false"/>
          <w:caps w:val="false"/>
          <w:smallCaps w:val="false"/>
          <w:sz w:val="20"/>
        </w:rPr>
        <w:t>. The obligation hereunder of the Company to issue and sell the Shares to the Purchaser is subject to the satisfaction or waiver, at or before the Closing, of each of the conditions set forth below. These conditions are for the Company’s sole benefit and may be waived by the Company at any time in its sole discretion.</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Accuracy of the Purchaser’s Representations and Warranties</w:t>
      </w:r>
      <w:r>
        <w:rPr>
          <w:rFonts w:ascii="Times New Roman;Times;Serif" w:hAnsi="Times New Roman;Times;Serif"/>
          <w:b w:val="false"/>
          <w:i w:val="false"/>
          <w:caps w:val="false"/>
          <w:smallCaps w:val="false"/>
          <w:sz w:val="20"/>
        </w:rPr>
        <w:t>. The representations and warranties of the Purchaser in this Agreement and each of the other Transaction Documents to which the Purchaser is a party shall be true and correct in all material respects as of the date when made and as of the Closing Date as though made at that time, except for representations and warranties that are expressly made as of a particular date, which shall be true and correct in all material respects as of such date.</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 by the Purchaser</w:t>
      </w:r>
      <w:r>
        <w:rPr>
          <w:rFonts w:ascii="Times New Roman;Times;Serif" w:hAnsi="Times New Roman;Times;Serif"/>
          <w:b w:val="false"/>
          <w:i w:val="false"/>
          <w:caps w:val="false"/>
          <w:smallCaps w:val="false"/>
          <w:sz w:val="20"/>
        </w:rPr>
        <w:t>. The Purchaser shall have performed, satisfied and complied in all respects with all covenants, agreements and conditions required by this Agreement to be performed, satisfied or complied with by such Purchaser at or prior to the Closing.</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Injunction</w:t>
      </w:r>
      <w:r>
        <w:rPr>
          <w:rFonts w:ascii="Times New Roman;Times;Serif" w:hAnsi="Times New Roman;Times;Serif"/>
          <w:b w:val="false"/>
          <w:i w:val="false"/>
          <w:caps w:val="false"/>
          <w:smallCaps w:val="false"/>
          <w:sz w:val="20"/>
        </w:rPr>
        <w:t>. No statute, rule, regulation, executive order, decree, ruling or injunction shall have been enacted, entered, promulgated or endorsed by any court or governmental authority of competent jurisdiction which prohibits the consummation of any of the transactions contemplated by this Agreement.</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Delivery of Purchase Price</w:t>
      </w:r>
      <w:r>
        <w:rPr>
          <w:rFonts w:ascii="Times New Roman;Times;Serif" w:hAnsi="Times New Roman;Times;Serif"/>
          <w:b w:val="false"/>
          <w:i w:val="false"/>
          <w:caps w:val="false"/>
          <w:smallCaps w:val="false"/>
          <w:sz w:val="20"/>
        </w:rPr>
        <w:t>. The Purchase Price for the Shares shall have been delivered to the Company.</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Delivery of Transaction Documents</w:t>
      </w:r>
      <w:r>
        <w:rPr>
          <w:rFonts w:ascii="Times New Roman;Times;Serif" w:hAnsi="Times New Roman;Times;Serif"/>
          <w:b w:val="false"/>
          <w:i w:val="false"/>
          <w:caps w:val="false"/>
          <w:smallCaps w:val="false"/>
          <w:sz w:val="20"/>
        </w:rPr>
        <w:t>. The Transaction Documents to which the Purchaser isa party shall have been duly executed and delivered by the Purchaser to the Company.</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Conditions Precedent to the Obligation of the Purchaser to Purchase the Shares</w:t>
      </w:r>
      <w:r>
        <w:rPr>
          <w:rFonts w:ascii="Times New Roman;Times;Serif" w:hAnsi="Times New Roman;Times;Serif"/>
          <w:b w:val="false"/>
          <w:i w:val="false"/>
          <w:caps w:val="false"/>
          <w:smallCaps w:val="false"/>
          <w:sz w:val="20"/>
        </w:rPr>
        <w:t>. The obligation hereunder of the Purchaser to purchase the Shares is subject to the satisfaction or waiver, at or before the Closing, of each of the conditions set forth below. These conditions are for the Purchaser’s sole benefit and may be waived by the Purchaser at any time in its sole discretion.</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Accuracy of the Company’s Representations and Warranties</w:t>
      </w:r>
      <w:r>
        <w:rPr>
          <w:rFonts w:ascii="Times New Roman;Times;Serif" w:hAnsi="Times New Roman;Times;Serif"/>
          <w:b w:val="false"/>
          <w:i w:val="false"/>
          <w:caps w:val="false"/>
          <w:smallCaps w:val="false"/>
          <w:sz w:val="20"/>
        </w:rPr>
        <w:t>. Each of the representations and warranties of the Company in this Agreement and the other Transaction Documents shall be true and correct in all respects as of the date when made and as of the Closing Date as though made at that time, except for representations and warranties that are expressly made as of a particular date, which shall be true and correct in all respects as of such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 by the Company</w:t>
      </w:r>
      <w:r>
        <w:rPr>
          <w:rFonts w:ascii="Times New Roman;Times;Serif" w:hAnsi="Times New Roman;Times;Serif"/>
          <w:b w:val="false"/>
          <w:i w:val="false"/>
          <w:caps w:val="false"/>
          <w:smallCaps w:val="false"/>
          <w:sz w:val="20"/>
        </w:rPr>
        <w:t>. The Company shall have performed, satisfied and complied in all respects with all covenants, agreements and conditions required by this Agreement to be performed, satisfied or complied with by the Company at or prior to the Closing.</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Injunction</w:t>
      </w:r>
      <w:r>
        <w:rPr>
          <w:rFonts w:ascii="Times New Roman;Times;Serif" w:hAnsi="Times New Roman;Times;Serif"/>
          <w:b w:val="false"/>
          <w:i w:val="false"/>
          <w:caps w:val="false"/>
          <w:smallCaps w:val="false"/>
          <w:sz w:val="20"/>
        </w:rPr>
        <w:t>. No statute, rule, regulation, executive order, decree, ruling or injunction shall have been enacted, entered, promulgated or endorsed by any court or governmental authority of competent jurisdiction which prohibits the consummation of any of the transactions contemplated by this Agreement.</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Proceedings or Litigation</w:t>
      </w:r>
      <w:r>
        <w:rPr>
          <w:rFonts w:ascii="Times New Roman;Times;Serif" w:hAnsi="Times New Roman;Times;Serif"/>
          <w:b w:val="false"/>
          <w:i w:val="false"/>
          <w:caps w:val="false"/>
          <w:smallCaps w:val="false"/>
          <w:sz w:val="20"/>
        </w:rPr>
        <w:t>. No action, suit or proceeding before any arbitrator or any governmental authority shall have been commenced, and no investigation by any governmental authority shall have been threatened, against the Company or any subsidiary, or any of the officers, directors or affiliates of the Company or any Subsidiary seeking to restrain, prevent or change the transactions contemplated by this Agreement, or seeking damages in connection with such transactions.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Stock Certificate</w:t>
      </w:r>
      <w:r>
        <w:rPr>
          <w:rFonts w:ascii="Times New Roman;Times;Serif" w:hAnsi="Times New Roman;Times;Serif"/>
          <w:b w:val="false"/>
          <w:i w:val="false"/>
          <w:caps w:val="false"/>
          <w:smallCaps w:val="false"/>
          <w:sz w:val="20"/>
        </w:rPr>
        <w:t>. The Company shall have executed and delivered to the Purchaser a stock certificate for the Shares.</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Resolutions</w:t>
      </w:r>
      <w:r>
        <w:rPr>
          <w:rFonts w:ascii="Times New Roman;Times;Serif" w:hAnsi="Times New Roman;Times;Serif"/>
          <w:b w:val="false"/>
          <w:i w:val="false"/>
          <w:caps w:val="false"/>
          <w:smallCaps w:val="false"/>
          <w:sz w:val="20"/>
        </w:rPr>
        <w:t>. The Board of Directors of the Company shall have adopted resolutions authorizing the transactions contemplated by this Agreement.</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No Material Adverse Effect shall have occurred at or before the Closing Date.</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Delivery of the Transaction Documents</w:t>
      </w:r>
      <w:r>
        <w:rPr>
          <w:rFonts w:ascii="Times New Roman;Times;Serif" w:hAnsi="Times New Roman;Times;Serif"/>
          <w:b w:val="false"/>
          <w:i w:val="false"/>
          <w:caps w:val="false"/>
          <w:smallCaps w:val="false"/>
          <w:sz w:val="20"/>
        </w:rPr>
        <w:t>. The Transaction Documents to which the Companyisa party shall have been duly executed and delivered by the Company to the Purchaser.</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Certificate Legend</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Legend</w:t>
      </w:r>
      <w:r>
        <w:rPr>
          <w:rFonts w:ascii="Times New Roman;Times;Serif" w:hAnsi="Times New Roman;Times;Serif"/>
          <w:b w:val="false"/>
          <w:i w:val="false"/>
          <w:caps w:val="false"/>
          <w:smallCaps w:val="false"/>
          <w:sz w:val="20"/>
        </w:rPr>
        <w:t>. Each certificate representing the Shares shall be stamped or otherwise imprinted with a legend substantially in the following form:</w:t>
      </w:r>
    </w:p>
    <w:p>
      <w:pPr>
        <w:pStyle w:val="TextBody"/>
        <w:bidi w:val="0"/>
        <w:spacing w:before="240" w:after="240"/>
        <w:ind w:left="240" w:right="24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BY THIS CERTIFICATE HAVE NOT BEEN REGISTERED UNDER THE SECURITIES ACT OF 1933, AS AMENDED (THE “SECURITIES ACT”), OR ANY STATE SECURITIES LAWS AND NEITHER SUCH SECURITIES NOR ANY INTEREST THEREIN MAY BE OFFERED, SOLD, PLEDGED, ASSIGNED OR OTHERWISE TRANSFERRED EXCEPT (1) IN ACCORDANCE WITH THE PROVISIONS OF REGULATION S PROMULGATED UNDER THE SECURITIES ACT, AND BASED ON AN OPINION OF COUNSEL, WHICH COUNSEL AND OPINION ARE REASONABLY SATISFACTORY TO THE COMPANY, THAT THE PROVISIONS OF REGULATION S HAVE BEEN SATISFIED, (2) PURSUANT TO AN EFFECTIVE REGISTRATION STATEMENT UNDER THE SECURITIES ACT AND APPLICABLE STATE SECURITIES LAWS OR (3) PURSUANT TO AN AVAILABLE EXEMPTION FROM THE REGISTRATION REQUIREMENTS OF THE SECURITIES ACT AND APPLICABLE STATE SECURITIES LAWS, IN WHICH CASE THE HOLDER MUST, PRIOR TO SUCH TRANSFER, FURNISH TO THE COMPANY AN OPINION OF COUNSEL, WHICH COUNSEL AND OPINION ARE REASONABLY SATISFACTORY TO THE COMPANY, THAT SUCH SECURITIES MAY BE OFFERED, SOLD, PLEDGED, ASSIGNED OR OTHERWISE TRANSFERRED IN THE MANNER CONTEMPLATED PURSUANT TO AN AVAILABLE EXEMPTION FROM THE REGISTRATION REQUIREMENTS OF THE SECURITIES ACT AND APPLICABLE STATE SECURITIES LAWS. HEDGING TRANSACTIONS INVOLVING THE SECURITIES REPRESENTED BY THIS CERTIFICATE MAY NOT BE CONDUCTED UNLESS IN COMPLIANCE WITH THE SECURITIES ACT.”</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240" w:after="240"/>
        <w:ind w:left="240" w:right="24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reissue certificates representing any of the Shares, without the legend set forth above if at such time, prior to making any transfer of any such securities, such holder thereof shall give written notice to the Company describing the manner and terms of such sale and removal as the Company may reasonably request. Such proposed transfer and removal will not be effected until: (a) either (i) the Company has received an opinion of counsel reasonably satisfactory to the Company, to the effect that the registration of the Shares under the Securities Act is not required in connection with such proposed transfer, (ii) a registration statement under the Securities Act covering such proposed disposition has been filed by the Company with the Commission and has become effective under the Securities Act, (iii) the Company has received other evidence reasonably satisfactory to the Company that such registration and qualification under the Securities Act and state securities laws are not required, or (iv) the holder provides the Company with reasonable assurances that such security can be sold pursuant to Rule 144 under the Securities Act; and (b) either (i) the Company has received an opinion of counsel reasonably satisfactory to the Company, to the effect that registration or qualification under the securities or “blue sky” laws of any state is not required in connection with such proposed disposition, or (ii) compliance with applicable state securities or “blue sky” laws has been effected or a valid exemption exists with respect thereto. The Company will respond to any such notice from a holder within five (5) business days. In the case of any proposed transfer under this Section 5.1, the Company will use reasonable efforts to comply with any such applicable state securities or “blue sky” laws, but shall in no event be required, (x) to qualify to do business in any state where it is not then qualified, (y) to take any action that would subject it to tax or to the general service of process in any state where it is not then subject, or (z) to comply with state securities or “blue sky” laws of any state for which registration by coordination is unavailable to the Company. The restrictions on transfer contained in this Section 5.1 shall be in addition to, and not by way of limitation of, any other restrictions on transfer contained in any other section of this Agreement.</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General Indemnity</w:t>
      </w:r>
      <w:r>
        <w:rPr>
          <w:rFonts w:ascii="Times New Roman;Times;Serif" w:hAnsi="Times New Roman;Times;Serif"/>
          <w:b w:val="false"/>
          <w:i w:val="false"/>
          <w:caps w:val="false"/>
          <w:smallCaps w:val="false"/>
          <w:sz w:val="20"/>
        </w:rPr>
        <w:t>. The Company agrees to indemnify and hold harmless the Purchaser (and it directors, officers, managers, partners, members, shareholders, affiliates, agents, successors and assigns) from and against any and all losses, liabilities, deficiencies, costs, damages and expenses (including, without limitation, reasonable attorneys’ fees, charges and disbursements) incurred by the Purchaser as a result of any inaccuracy in or breach of the representations, warranties or covenants made by the Company herein. The Purchaser agrees to indemnify and hold harmless the Company and its directors, officers, affiliates, agents, successors and assigns from and against any and all losses, liabilities, deficiencies, costs, damages and expenses (including, without limitation, reasonable attorneys’ fees, charges and disbursements) incurred by the Company as a result of any inaccuracy in or breach of the representations, warranties or covenants made by the Purchaser herein.</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Indemnification Procedure</w:t>
      </w:r>
      <w:r>
        <w:rPr>
          <w:rFonts w:ascii="Times New Roman;Times;Serif" w:hAnsi="Times New Roman;Times;Serif"/>
          <w:b w:val="false"/>
          <w:i w:val="false"/>
          <w:caps w:val="false"/>
          <w:smallCaps w:val="false"/>
          <w:sz w:val="20"/>
        </w:rPr>
        <w:t>. Any party entitled to indemnification under this Article VI (an “</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xml:space="preserve">”) will give written notice to the indemnifying party of any matters giving rise to a claim for indemnification;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of any party entitled to indemnification hereunder to give notice as provided herein shall not relieve the indemnifying party of its obligations under this Article VI except to the extent that the indemnifying party is actually prejudiced by such failure to give notice. In case any action, proceeding or claim is brought against an Indemnified Party in respect of which indemnification is sought hereunder, the indemnifying party shall be entitled to participate in and, unless in the reasonable judgment of the Indemnified Party a conflict of interest between it and the indemnifying party may exist with respect of such action, proceeding or claim, to assume the defense thereof with counsel reasonably satisfactory to the Indemnified Party. In the event that the indemnifying party advises an Indemnified Party that it will contest such a claim for indemnification hereunder, or fails, within thirty (30) days of receipt of any indemnification notice to notify, in writing, such person of its election to defend, settle or compromise, at its sole cost and expense, any action, proceeding or claim (or discontinues its defense at any time after it commences such defense), then the Indemnified Party may, at its option, defend, settle or otherwise compromise or pay such action or claim. In any event, unless and until the indemnifying party elects in writing to assume and does so assume the defense of any such claim, proceeding or action, the Indemnified Party’s costs and expenses arising out of the defense, settlement or compromise of any such action, claim or proceeding shall be losses subject to indemnification hereunder. The Indemnified Party shall cooperate fully with the indemnifying party in connection with any negotiation or defense of any such action or claim by the indemnifying party and shall furnish to the indemnifying party all information reasonably available to the Indemnified Party which relates to such action or claim. The indemnifying party shall keep the Indemnified Party fully apprised at all times as to the status of the defense or any settlement negotiations with respect thereto. If the indemnifying party elects to defend any such action or claim, then the Indemnified Party shall be entitled to participate in such defense with counsel of its choice at its sole cost and expense. The indemnifying party shall not be liable for any settlement of any action, claim or proceeding effected without its prior written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indemnifying party shall be liable for any settlement if the indemnifying party is advised of the settlement but fails to respond to the settlement within thirty (30) days of receipt of such notification. Notwithstanding anything in this Article VI to the contrary, the indemnifying party shall not, without the Indemnified Party’s prior written consent, settle or compromise any claim or consent to entry of any judgment in respect thereof which imposes any future obligation on the Indemnified Party or which does not include, as an unconditional term thereof, the giving by the claimant or the plaintiff to the Indemnified Party of a release from all liability in respect of such claim. The indemnification required by this Article VI shall be made by periodic payments of the amount thereof during the course of investigation or defense, as and when bills are received or expense, loss, damage or liability is incurred, so long as the Indemnified Party irrevocably agrees to refund such moneys if it is ultimately determined by a court of competent jurisdiction that such party was not entitled to indemnification. The indemnity agreements contained herein shall be in addition to (a) any cause of action or similar rights of the Indemnified Party against the indemnifying party or others, and (b) any liabilities the indemnifying party may be subject to pursuant to the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Each of the parties to this Agreement shall pay its own fees and expenses of each party’s advisors, counsel, accountants and other experts, if any, and all other expenses, incurred by each party incident to the negotiation, preparation, execution, delivery and performance of this Agreement and of all documents referred to in it.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Specific Enforcement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Purchaser acknowledge and agree that irreparable damage would occur in the event that any of the provisions of this Agreement or the other Transaction Documents were not performed in accordance with their specific terms or were otherwise breached. It is accordingly agreed that the parties shall be entitled to an injunction or injunctions to prevent or cure breaches of the provisions of this Agreement or the other Transaction Documents and to enforce specifically the terms and provisions hereof or thereof, this being in addition to any other remedy to which any of them may be entitled by law or equity.</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Company and the Purchaser (i) hereby irrevocably submits to the jurisdiction of the United States District Court sitting in the Southern District of New York and the courts of the State of New York located in New York county for the purposes of any suit, action or proceeding arising out of or relating to this Agreement or any of the other Transaction Documents or the transactions contemplated hereby or thereby and (ii) hereby waives, and agrees not to assert in any such suit, action or proceeding, any claim that it is not personally subject to the jurisdiction of such court, that the suit, action or proceeding is brought in an inconvenient forum or that the venue of the suit, action or proceeding is improper. Each of the Company and the Purchaser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in this Section 7.2 shall affect or limit any right to serve process in any other manner permitted by law.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The Company hereby appoints Loeb &amp; Loeb LLP, with offices at 345 Park Avenue, New York, NY 10153 as its agent for service of process in New York. Nothing contained herein shall be deemed to limit in any way any right to serve process in any manner permitted by law.</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Entire Agreement; Amendment</w:t>
      </w:r>
      <w:r>
        <w:rPr>
          <w:rFonts w:ascii="Times New Roman;Times;Serif" w:hAnsi="Times New Roman;Times;Serif"/>
          <w:b w:val="false"/>
          <w:i w:val="false"/>
          <w:caps w:val="false"/>
          <w:smallCaps w:val="false"/>
          <w:sz w:val="20"/>
        </w:rPr>
        <w:t>. This Agreement and the other Transaction Documents contains the entire understanding and agreement of the parties with respect to the matters covered hereby and, except as specifically set forth herein or in the Transaction Documents, neither the Company nor the Purchaser makes any representations, warranty, covenant or undertaking with respect to such matters and they supersede all prior understandings and agreements with respect to said subject matter, all of which are merged herein. No provision of this Agreement nor any of the Transaction Documents may be waived or amended other than by a written instrument signed by the Company and the Purchaser, and no provision hereof may be waived other than by a written instrument signed by the party against whom enforcement of any such waiver is sought.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consents, requests, instructions and other communications to be given or delivered or permitted under or by reason of the provisions of this Agreement or in connection with the transactions contemplated hereby shall be in writing and shall be deemed to be delivered and received by the intended recipient as follows: (i) if personally delivered, on the business day of such delivery (as evidenced by the receipt of the personal delivery service), (ii) if mailed certified or registered mail return receipt requested, two (2) business days after being mailed, (iii) if delivered by overnight courier (with all charges having been prepaid), on the business day of such delivery (as evidenced by the receipt of the overnight courier service of recognized standing), or (iv) if delivered by facsimile transmission, on the business day of such delivery if sent by 6:00 p.m. in the time zone of the recipient, or if sent after that time, on the next succeeding business day (as evidenced by the printed confirmation of delivery generated by the sending party’s telecopier machine). If any notice, demand, consent, request, instruction or other communication cannot be delivered because of a changed address of which no notice was given (in accordance with this Section 4), or the refusal to accept same, the notice, demand, consent, request, instruction or other communication shall be deemed received on the second business day the notice is sent (as evidenced by a sworn affidavit of the sender). All such notices, demands, consents, requests, instructions and other communications will be sent to the following addresses or facsimile numbers as applicable:</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ZW Data Action Technologies Inc.</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1811, Xinghuo Keji Plaza, No. 2 Fufeng Road,</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Fengtai District, Beijing, PRC 100070</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Mr. Handong Cheng</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No.: +86-10-51600828</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No.: +86-10-51600328</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Loeb &amp; Loeb LLP</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 Park Avenue</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10154</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Mitchell S. Nussbaum, Esq.</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No.: (212) 407-4000</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No.: (212) 407-4990</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Purchaser:</w:t>
      </w:r>
    </w:p>
    <w:p>
      <w:pPr>
        <w:pStyle w:val="TextBody"/>
        <w:bidi w:val="0"/>
        <w:ind w:left="72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Chaucer Investment &amp; Consulting Limited</w:t>
      </w:r>
    </w:p>
    <w:p>
      <w:pPr>
        <w:pStyle w:val="TextBody"/>
        <w:bidi w:val="0"/>
        <w:ind w:left="72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1004-5, Summit Insurance Building, 789 Nathan Road, Mongkok, Kowloon</w:t>
      </w:r>
    </w:p>
    <w:p>
      <w:pPr>
        <w:pStyle w:val="TextBody"/>
        <w:bidi w:val="0"/>
        <w:ind w:left="72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Lam Luk Sin</w:t>
      </w:r>
    </w:p>
    <w:p>
      <w:pPr>
        <w:pStyle w:val="TextBody"/>
        <w:bidi w:val="0"/>
        <w:ind w:left="72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No.: (852) 60167727</w:t>
      </w:r>
    </w:p>
    <w:p>
      <w:pPr>
        <w:pStyle w:val="TextBody"/>
        <w:bidi w:val="0"/>
        <w:spacing w:before="240" w:after="240"/>
        <w:ind w:left="22" w:right="24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party hereto may from time to time change its address for notices by giving at least ten (10) days written notice of such changed address to the other party hereto.</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Waivers</w:t>
      </w:r>
      <w:r>
        <w:rPr>
          <w:rFonts w:ascii="Times New Roman;Times;Serif" w:hAnsi="Times New Roman;Times;Serif"/>
          <w:b w:val="false"/>
          <w:i w:val="false"/>
          <w:caps w:val="false"/>
          <w:smallCaps w:val="false"/>
          <w:sz w:val="20"/>
        </w:rPr>
        <w:t>. No waiver by any party of any default with respect to any provision, condition or requirement of this Agreement shall be deemed to be a continuing waiver in the future or a waiver of any other provisions, condition or requirement hereof, nor shall any delay or omission of any party to exercise any right hereunder in any manner impair the exercise of any such right accruing to it thereafter.</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section headings contained in this Agreement (including, without limitation, section headings and headings in the exhibits and schedules) are inserted for reference purposes only and shall not affect in any way the meaning, construction or interpretation of this Agreement. Any reference to the masculine, feminine, or neuter gender shall be a reference to such other gender as is appropriate. References to the singular shall include the plural and vice versa.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may not be assigned by a party hereto without the prior written consent of the Company or the Purchaser,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subject to federal and state securities laws and as otherwise provided in the Transaction Documents, the Purchaser may assign its rights and delegate its duties hereunder in whole or in part (i) to a third party acquiring all or substantially all of its Shares in a private transaction or (ii) to an affiliate, in each case, without the prior written consent of the Company, after notice duly given by the Purchaser to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such assignment or obligation shall affect the obligations of the Purchaser hereunder and that such assignee agrees in writing to be bound, with respect to the transferred securities, by the provisions hereof that apply to the Purchaser. The provisions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7.8 </w:t>
      </w:r>
      <w:r>
        <w:rPr>
          <w:rFonts w:ascii="Times New Roman;Times;Serif" w:hAnsi="Times New Roman;Times;Serif"/>
          <w:b w:val="false"/>
          <w:i w:val="false"/>
          <w:caps w:val="false"/>
          <w:smallCaps w:val="false"/>
          <w:sz w:val="20"/>
          <w:u w:val="single"/>
        </w:rPr>
        <w:t>No Third Party Beneficiaries</w:t>
      </w:r>
      <w:r>
        <w:rPr>
          <w:rFonts w:ascii="Times New Roman;Times;Serif" w:hAnsi="Times New Roman;Times;Serif"/>
          <w:b w:val="false"/>
          <w:i w:val="false"/>
          <w:caps w:val="false"/>
          <w:smallCaps w:val="false"/>
          <w:sz w:val="20"/>
        </w:rPr>
        <w:t>. This Agreement is intended for the benefit of the parties hereto and their respective permitted successors and assigns and is not for the benefit of, nor may any provision hereof be enforced by, any other person.</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internal laws of the State of New York, without giving effect to any of the conflicts of law principles which would result in the application of the substantive law of another jurisdiction. This Agreement shall not be interpreted or construed with any presumption against the party causing this Agreement to be drafted.</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of the Company and the Purchaser shall survive the execution and delivery hereof and the Closing hereunder for a period of three (3) years following the Closing Date.</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each of which when so executed shall be deemed to be an original and, all of which taken together shall constitute one and the same Agreement and shall become effective when counterparts have been signed by each party and delivered to the other parties hereto, it being understood that all parties need not sign the same counterpart. In the event that any signature is delivered by facsimile transmission, such signature shall create a valid binding obligation of the party executing (or on whose behalf such signature is executed) the same with the same force and effect as if such facsimile signature were the original thereof.</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The provisions of this Agreement and the Transaction Documents are severable and, in the event that any court of competent jurisdiction shall determine that any one or more of the provisions or part of the provisions contained in this Agreement or the Transaction Documents shall, for any reason, be held to be invalid, illegal or unenforceable in any respect, such invalidity, illegality or unenforceability shall not affect any other provision or part of a provision of this Agreement or the Transaction Documents and such provision shall be reformed and construed as if such invalid or illegal or unenforceable provision, or part of such provision, had never been contained herein, so that such provisions would be valid, legal and enforceable to the maximum extent possible.</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7.13</w:t>
      </w:r>
      <w:r>
        <w:rPr>
          <w:rFonts w:ascii="Times New Roman;Times;Serif" w:hAnsi="Times New Roman;Times;Serif"/>
          <w:b w:val="false"/>
          <w:i w:val="false"/>
          <w:caps w:val="false"/>
          <w:smallCaps w:val="false"/>
          <w:sz w:val="20"/>
          <w:u w:val="single"/>
        </w:rPr>
        <w:t xml:space="preserve"> Further Assurances</w:t>
      </w:r>
      <w:r>
        <w:rPr>
          <w:rFonts w:ascii="Times New Roman;Times;Serif" w:hAnsi="Times New Roman;Times;Serif"/>
          <w:b w:val="false"/>
          <w:i w:val="false"/>
          <w:caps w:val="false"/>
          <w:smallCaps w:val="false"/>
          <w:sz w:val="20"/>
        </w:rPr>
        <w:t>. From and after the date of this Agreement, upon the request of the Purchaser or the Company, each of the Company and the Purchaser shall execute and deliver such instrument, documents and other writings as may be reasonably necessary or desirable to confirm and carry out and to effectuate fully the intent and purposes of this Agreement.</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7.14 </w:t>
      </w:r>
      <w:r>
        <w:rPr>
          <w:rFonts w:ascii="Times New Roman;Times;Serif" w:hAnsi="Times New Roman;Times;Serif"/>
          <w:b w:val="false"/>
          <w:i w:val="false"/>
          <w:caps w:val="false"/>
          <w:smallCaps w:val="false"/>
          <w:sz w:val="20"/>
          <w:u w:val="single"/>
        </w:rPr>
        <w:t>Currency</w:t>
      </w:r>
      <w:r>
        <w:rPr>
          <w:rFonts w:ascii="Times New Roman;Times;Serif" w:hAnsi="Times New Roman;Times;Serif"/>
          <w:b w:val="false"/>
          <w:i w:val="false"/>
          <w:caps w:val="false"/>
          <w:smallCaps w:val="false"/>
          <w:sz w:val="20"/>
        </w:rPr>
        <w:t>. Unless otherwise indicated, all dollar amounts referred to in this Agreement are in United States Dollars. All amounts owing under this Agreement or any Transaction Document shall be paid in US dollars. All amounts denominated in other currencies shall be converted in the US dollar equivalent amount in accordance with the Exchange Rate on the date of calculation. “Exchange Rate” means, in relation to any amount of currency to be converted into US dollars pursuant to this Agreement, the US dollar exchange rate as published in The Wall Street Journal on the relevant date of calculation.</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7.15 Force Majeure. If the transactions under this Agreement cannot be completed due to any political, military, government intervention or any other force majeure causes which are out of the Company’s or the Purchaser’s control, this Agreement shall be terminated automatically. Upon a termination in accordance with this Section 7.16, the Company and the Purchaser shall not have any further obligation or liability (including as arising from such termination) to the other.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7.16 Termination by Mutual Agreement. This Agreement may be terminated prior to the Closing by written agreement of the Company and the Purchaser. Upon a termination in accordance with this Section 7.17, the Company and the Purchaser shall not have any further obligation or liability (including as arising from such termination) to the other.</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240" w:after="240"/>
        <w:ind w:left="240" w:right="240" w:hanging="0"/>
        <w:jc w:val="center"/>
        <w:rPr>
          <w:caps w:val="false"/>
          <w:smallCaps w:val="false"/>
        </w:rPr>
      </w:pPr>
      <w:r>
        <w:rPr>
          <w:caps w:val="false"/>
          <w:smallCaps w:val="false"/>
        </w:rPr>
        <w:t> </w:t>
      </w:r>
    </w:p>
    <w:p>
      <w:pPr>
        <w:pStyle w:val="TextBody"/>
        <w:bidi w:val="0"/>
        <w:spacing w:before="240" w:after="240"/>
        <w:ind w:left="240" w:right="240" w:hanging="0"/>
        <w:jc w:val="center"/>
        <w:rPr>
          <w:caps w:val="false"/>
          <w:smallCaps w:val="false"/>
        </w:rPr>
      </w:pPr>
      <w:r>
        <w:rPr>
          <w:caps w:val="false"/>
          <w:smallCaps w:val="false"/>
        </w:rPr>
        <w:t> </w:t>
      </w:r>
    </w:p>
    <w:p>
      <w:pPr>
        <w:pStyle w:val="TextBody"/>
        <w:bidi w:val="0"/>
        <w:spacing w:before="240" w:after="240"/>
        <w:ind w:left="240" w:right="240" w:hanging="0"/>
        <w:jc w:val="center"/>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by their respective authorized officer as of the date first above written.</w:t>
      </w:r>
    </w:p>
    <w:p>
      <w:pPr>
        <w:pStyle w:val="TextBody"/>
        <w:bidi w:val="0"/>
        <w:ind w:left="0" w:right="0" w:firstLine="72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75"/>
        <w:gridCol w:w="320"/>
        <w:gridCol w:w="35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ZW DATA ACTION TECHNOLOGIES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5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5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Handong Cheng</w:t>
            </w:r>
          </w:p>
        </w:tc>
      </w:tr>
      <w:tr>
        <w:trPr/>
        <w:tc>
          <w:tcPr>
            <w:tcW w:w="39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359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Handong Cheng</w:t>
            </w:r>
          </w:p>
          <w:p>
            <w:pPr>
              <w:pStyle w:val="TableContents"/>
              <w:bidi w:val="0"/>
              <w:spacing w:before="0" w:after="283"/>
              <w:ind w:left="600" w:right="0" w:hanging="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COUNTERPART SIGNATURE PAGE</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its execution and delivery of this signature page, the undersigned Purchaser hereby agrees to be bound by the terms and conditions of the Securities Purchase Agreement, dated as of May 13, 2025.</w:t>
      </w:r>
    </w:p>
    <w:p>
      <w:pPr>
        <w:pStyle w:val="TextBody"/>
        <w:bidi w:val="0"/>
        <w:jc w:val="center"/>
        <w:rPr>
          <w:caps w:val="false"/>
          <w:smallCaps w:val="false"/>
        </w:rPr>
      </w:pPr>
      <w:r>
        <w:rPr>
          <w:caps w:val="false"/>
          <w:smallCaps w:val="false"/>
        </w:rPr>
        <w:t> </w:t>
      </w:r>
    </w:p>
    <w:tbl>
      <w:tblPr>
        <w:tblW w:w="4609" w:type="dxa"/>
        <w:jc w:val="left"/>
        <w:tblInd w:w="0" w:type="dxa"/>
        <w:tblLayout w:type="fixed"/>
        <w:tblCellMar>
          <w:top w:w="0" w:type="dxa"/>
          <w:left w:w="0" w:type="dxa"/>
          <w:bottom w:w="0" w:type="dxa"/>
          <w:right w:w="0" w:type="dxa"/>
        </w:tblCellMar>
      </w:tblPr>
      <w:tblGrid>
        <w:gridCol w:w="75"/>
        <w:gridCol w:w="734"/>
        <w:gridCol w:w="3800"/>
      </w:tblGrid>
      <w:tr>
        <w:trPr/>
        <w:tc>
          <w:tcPr>
            <w:tcW w:w="75"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jc w:val="left"/>
              <w:rPr>
                <w:rFonts w:ascii="Times New Roman;Times;Serif" w:hAnsi="Times New Roman;Times;Serif"/>
                <w:b w:val="false"/>
                <w:i w:val="false"/>
                <w:caps/>
                <w:sz w:val="20"/>
              </w:rPr>
            </w:pPr>
            <w:r>
              <w:rPr>
                <w:rFonts w:ascii="Times New Roman;Times;Serif" w:hAnsi="Times New Roman;Times;Serif"/>
                <w:b w:val="false"/>
                <w:i w:val="false"/>
                <w:caps/>
                <w:sz w:val="20"/>
              </w:rPr>
              <w:t>Chaucer Investment &amp; Consulting Limited</w:t>
            </w:r>
          </w:p>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sz w:val="20"/>
              </w:rPr>
            </w:pPr>
            <w:r>
              <w:rPr>
                <w:sz w:val="20"/>
              </w:rPr>
              <w:t>By:</w:t>
            </w:r>
          </w:p>
        </w:tc>
        <w:tc>
          <w:tcPr>
            <w:tcW w:w="380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Lam Luk Sin</w:t>
            </w:r>
          </w:p>
        </w:tc>
      </w:tr>
      <w:tr>
        <w:trPr/>
        <w:tc>
          <w:tcPr>
            <w:tcW w:w="7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sz w:val="20"/>
              </w:rPr>
            </w:pPr>
            <w:r>
              <w:rPr>
                <w:sz w:val="20"/>
              </w:rPr>
              <w:t>Name: Lam Luk Sin</w:t>
            </w:r>
          </w:p>
        </w:tc>
      </w:tr>
      <w:tr>
        <w:trPr/>
        <w:tc>
          <w:tcPr>
            <w:tcW w:w="7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sz w:val="20"/>
              </w:rPr>
            </w:pPr>
            <w:r>
              <w:rPr>
                <w:sz w:val="20"/>
              </w:rPr>
              <w:t>Title:   Director</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EXACT NAME IN WHICH YOU WANT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TO BE REGISTERED</w:t>
      </w:r>
    </w:p>
    <w:p>
      <w:pPr>
        <w:pStyle w:val="TextBody"/>
        <w:bidi w:val="0"/>
        <w:jc w:val="center"/>
        <w:rPr>
          <w:caps w:val="false"/>
          <w:smallCaps w:val="false"/>
        </w:rPr>
      </w:pPr>
      <w:r>
        <w:rPr>
          <w:caps w:val="false"/>
          <w:smallCaps w:val="false"/>
        </w:rPr>
        <w:t> </w:t>
      </w:r>
    </w:p>
    <w:tbl>
      <w:tblPr>
        <w:tblW w:w="1220" w:type="dxa"/>
        <w:jc w:val="left"/>
        <w:tblInd w:w="0" w:type="dxa"/>
        <w:tblLayout w:type="fixed"/>
        <w:tblCellMar>
          <w:top w:w="0" w:type="dxa"/>
          <w:left w:w="0" w:type="dxa"/>
          <w:bottom w:w="0" w:type="dxa"/>
          <w:right w:w="0" w:type="dxa"/>
        </w:tblCellMar>
      </w:tblPr>
      <w:tblGrid>
        <w:gridCol w:w="1145"/>
        <w:gridCol w:w="75"/>
      </w:tblGrid>
      <w:tr>
        <w:trPr/>
        <w:tc>
          <w:tcPr>
            <w:tcW w:w="1145" w:type="dxa"/>
            <w:tcBorders/>
            <w:vAlign w:val="center"/>
          </w:tcPr>
          <w:p>
            <w:pPr>
              <w:pStyle w:val="TableContents"/>
              <w:bidi w:val="0"/>
              <w:spacing w:before="0" w:after="283"/>
              <w:jc w:val="left"/>
              <w:rPr>
                <w:sz w:val="20"/>
              </w:rPr>
            </w:pPr>
            <w:r>
              <w:rPr>
                <w:sz w:val="20"/>
              </w:rPr>
              <w:t>Attn:</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20"/>
              </w:rPr>
            </w:pPr>
            <w:r>
              <w:rPr>
                <w:sz w:val="20"/>
              </w:rPr>
              <w:t>Address: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20"/>
              </w:rPr>
            </w:pPr>
            <w:r>
              <w:rPr>
                <w:sz w:val="20"/>
              </w:rPr>
              <w:t>Phone No.</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20"/>
              </w:rPr>
            </w:pPr>
            <w:r>
              <w:rPr>
                <w:sz w:val="20"/>
              </w:rPr>
              <w:t>Facsimile No.</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TO THE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LOCK-UP AGREEMENT</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jc w:val="left"/>
        <w:rPr>
          <w:caps w:val="false"/>
          <w:smallCaps w:val="false"/>
        </w:rPr>
      </w:pPr>
      <w:r>
        <w:rPr>
          <w:caps w:val="false"/>
          <w:smallCaps w:val="false"/>
        </w:rPr>
        <w:t> </w:t>
      </w:r>
    </w:p>
    <w:p>
      <w:pPr>
        <w:pStyle w:val="TextBody"/>
        <w:shd w:fill="FFFFFF" w:val="clear"/>
        <w:bidi w:val="0"/>
        <w:spacing w:before="0" w:after="0"/>
        <w:ind w:left="0" w:right="0" w:hanging="0"/>
        <w:jc w:val="right"/>
        <w:rPr>
          <w:b/>
          <w:sz w:val="20"/>
        </w:rPr>
      </w:pPr>
      <w:bookmarkStart w:id="34" w:name="exh_106.htm"/>
      <w:bookmarkStart w:id="35" w:name="ksexh_106"/>
      <w:bookmarkEnd w:id="34"/>
      <w:bookmarkEnd w:id="35"/>
      <w:r>
        <w:rPr>
          <w:b/>
          <w:sz w:val="20"/>
        </w:rPr>
        <w:t>Exhibit 10.6</w:t>
      </w:r>
      <w:r>
        <w:br w:type="page"/>
      </w:r>
    </w:p>
    <w:p>
      <w:pPr>
        <w:pStyle w:val="TextBody"/>
        <w:shd w:fill="FFFFFF" w:val="clear"/>
        <w:bidi w:val="0"/>
        <w:spacing w:before="0" w:after="0"/>
        <w:ind w:left="0" w:right="0" w:hanging="0"/>
        <w:jc w:val="center"/>
        <w:rPr/>
      </w:pPr>
      <w:r>
        <w:rPr/>
        <w:t> </w:t>
      </w:r>
    </w:p>
    <w:p>
      <w:pPr>
        <w:pStyle w:val="TextBody"/>
        <w:shd w:fill="FFFFFF" w:val="clear"/>
        <w:bidi w:val="0"/>
        <w:spacing w:before="0" w:after="0"/>
        <w:ind w:left="0" w:right="0" w:hanging="0"/>
        <w:jc w:val="center"/>
        <w:rPr>
          <w:b/>
          <w:sz w:val="20"/>
        </w:rPr>
      </w:pPr>
      <w:r>
        <w:rPr>
          <w:b/>
          <w:sz w:val="20"/>
        </w:rPr>
        <w:t>LOCK-UP AGREEMENT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This LOCK-UP AGREEMENT (this “</w:t>
      </w:r>
      <w:r>
        <w:rPr>
          <w:sz w:val="20"/>
          <w:u w:val="single"/>
        </w:rPr>
        <w:t>Agreement</w:t>
      </w:r>
      <w:r>
        <w:rPr>
          <w:sz w:val="20"/>
        </w:rPr>
        <w:t>”) is dated as of May 13, 2025 by and among ZW Data Action Technologies Inc., a Nevada corporation (NASDAQ: CNET) (the “Company”), and Chaucer Investment &amp; Consulting Limited, a Hong Kong business company (Business Registration Number: 50180682 (the “</w:t>
      </w:r>
      <w:r>
        <w:rPr>
          <w:sz w:val="20"/>
          <w:u w:val="single"/>
        </w:rPr>
        <w:t>Purchaser</w:t>
      </w:r>
      <w:r>
        <w:rPr>
          <w:sz w:val="20"/>
        </w:rPr>
        <w: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WHEREAS, the Company intends to consummate a private placement transaction with the Purchaser, whereby the Company will issue 132,400 shares of common stock (the “</w:t>
      </w:r>
      <w:r>
        <w:rPr>
          <w:sz w:val="20"/>
          <w:u w:val="single"/>
        </w:rPr>
        <w:t>Shares</w:t>
      </w:r>
      <w:r>
        <w:rPr>
          <w:sz w:val="20"/>
        </w:rPr>
        <w:t>”) to the Purchaser;</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WHEREAS, in connection with the transaction, the Company entered into a Securities Purchase Agreement, dated as of the date hereof (the “</w:t>
      </w:r>
      <w:r>
        <w:rPr>
          <w:sz w:val="20"/>
          <w:u w:val="single"/>
        </w:rPr>
        <w:t>Purchase Agreement</w:t>
      </w:r>
      <w:r>
        <w:rPr>
          <w:sz w:val="20"/>
        </w:rPr>
        <w:t>”), by and among the Company and the Purchaser, and certain other agreements, documents, instruments and certificates necessary to carry out the purposes thereof (collectively, the “</w:t>
      </w:r>
      <w:r>
        <w:rPr>
          <w:sz w:val="20"/>
          <w:u w:val="single"/>
        </w:rPr>
        <w:t>Transaction Documents</w:t>
      </w:r>
      <w:r>
        <w:rPr>
          <w:sz w:val="20"/>
        </w:rPr>
        <w:t>”); and</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WHEREAS, in order to induce the Company and the Purchaser to enter into the Purchase Agreement, the Purchaser has agreed not to sell any of the Shares, except in accordance with the terms and conditions set forth herein (the “</w:t>
      </w:r>
      <w:r>
        <w:rPr>
          <w:sz w:val="20"/>
          <w:u w:val="single"/>
        </w:rPr>
        <w:t>Lock-Up Shares</w:t>
      </w:r>
      <w:r>
        <w:rPr>
          <w:sz w:val="20"/>
        </w:rPr>
        <w:t>”). Capitalized terms used herein without definition shall have the meanings assigned to such terms in the Purchase Agreement.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NOW, THEREFORE, in consideration of the covenants and conditions hereinafter contained, the parties hereto agree as follows:</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1. </w:t>
      </w:r>
      <w:r>
        <w:rPr>
          <w:sz w:val="20"/>
          <w:u w:val="single"/>
        </w:rPr>
        <w:t>Restriction on Transfer; Term</w:t>
      </w:r>
      <w:r>
        <w:rPr>
          <w:sz w:val="20"/>
        </w:rPr>
        <w:t>. The Purchaser hereby agrees not to offer, sell, contract to sell, assign, transfer, hypothecate, gift, pledge or grant a security interest in, or otherwise dispose of, or enter into any transaction which is designed to, or might reasonably be expected to, result in the disposition of (whether by actual disposition or effective economic disposition due to cash settlement or otherwise, directly or indirectly) (each, a “</w:t>
      </w:r>
      <w:r>
        <w:rPr>
          <w:sz w:val="20"/>
          <w:u w:val="single"/>
        </w:rPr>
        <w:t>Transfer</w:t>
      </w:r>
      <w:r>
        <w:rPr>
          <w:sz w:val="20"/>
        </w:rPr>
        <w:t>”), any of the Lock-Up Shares until the six-month anniversary of the date of this Agreement (the “</w:t>
      </w:r>
      <w:r>
        <w:rPr>
          <w:sz w:val="20"/>
          <w:u w:val="single"/>
        </w:rPr>
        <w:t>Lock-Up Period</w:t>
      </w:r>
      <w:r>
        <w:rPr>
          <w:sz w:val="20"/>
        </w:rPr>
        <w: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2. </w:t>
      </w:r>
      <w:r>
        <w:rPr>
          <w:sz w:val="20"/>
          <w:u w:val="single"/>
        </w:rPr>
        <w:t>Ownership</w:t>
      </w:r>
      <w:r>
        <w:rPr>
          <w:sz w:val="20"/>
        </w:rPr>
        <w:t>. During the Lock-Up Period, the Purchaser shall retain all rights of ownership in the Lock-Up Shares, including, without limitation, voting rights and the right to receive any dividends that may be declared in respect thereof.</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3. </w:t>
      </w:r>
      <w:r>
        <w:rPr>
          <w:sz w:val="20"/>
          <w:u w:val="single"/>
        </w:rPr>
        <w:t>Company and Transfer Agent</w:t>
      </w:r>
      <w:r>
        <w:rPr>
          <w:sz w:val="20"/>
        </w:rPr>
        <w:t>. The Company is hereby authorized and required to disclose the existence of this Agreement to its transfer agent. The Company and its transfer agent are hereby authorized and required to decline to make any transfer of the Lock-Up Shares if such transfer would constitute a violation or breach of this Agreement.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4. </w:t>
      </w:r>
      <w:r>
        <w:rPr>
          <w:sz w:val="20"/>
          <w:u w:val="single"/>
        </w:rPr>
        <w:t>Notices</w:t>
      </w:r>
      <w:r>
        <w:rPr>
          <w:sz w:val="20"/>
        </w:rPr>
        <w:t>. All notices, demands, consents, requests, instructions and other communications to be given or delivered or permitted under or by reason of the provisions of this Agreement or in connection with the transactions contemplated hereby shall be in writing and shall be deemed to be delivered and received by the intended recipient as follows: (i) if personally delivered, on the business day of such delivery (as evidenced by the receipt of the personal delivery service), (ii) if mailed certified or registered mail return receipt requested, two (2) business days after being mailed, (iii) if delivered by overnight courier (with all charges having been prepaid), on the business day of such delivery (as evidenced by the receipt of the overnight courier service of recognized standing), or (iv) if delivered by facsimile transmission, on the business day of such delivery if sent by 6:00 p.m. in the time zone of the recipient, or if sent after that time, on the next succeeding business day (as evidenced by the printed confirmation of delivery generated by the sending party’s telecopier machine). If any notice, demand, consent, request, instruction or other communication cannot be delivered because of a changed address of which no notice was given (in accordance with this Section 4), or the refusal to accept same, the notice, demand, consent, request, instruction or other communication shall be deemed received on the second business day the notice is sent (as evidenced by a sworn affidavit of the sender). All such notices, demands, consents, requests, instructions and other communications will be sent to the following addresses or facsimile numbers as applicable.</w:t>
      </w:r>
    </w:p>
    <w:p>
      <w:pPr>
        <w:pStyle w:val="TextBody"/>
        <w:shd w:fill="FFFFFF" w:val="clear"/>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1</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If to the Company:</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ZW Data Action Technologies Inc.</w:t>
      </w:r>
    </w:p>
    <w:p>
      <w:pPr>
        <w:pStyle w:val="TextBody"/>
        <w:shd w:fill="FFFFFF" w:val="clear"/>
        <w:bidi w:val="0"/>
        <w:spacing w:before="0" w:after="0"/>
        <w:ind w:left="0" w:right="0" w:firstLine="720"/>
        <w:jc w:val="both"/>
        <w:rPr>
          <w:sz w:val="20"/>
        </w:rPr>
      </w:pPr>
      <w:r>
        <w:rPr>
          <w:sz w:val="20"/>
        </w:rPr>
        <w:t>Room 1811, Xinghuo Keji Plaza, No. 2 Fufeng Road,</w:t>
      </w:r>
    </w:p>
    <w:p>
      <w:pPr>
        <w:pStyle w:val="TextBody"/>
        <w:shd w:fill="FFFFFF" w:val="clear"/>
        <w:bidi w:val="0"/>
        <w:spacing w:before="0" w:after="0"/>
        <w:ind w:left="0" w:right="0" w:firstLine="720"/>
        <w:jc w:val="both"/>
        <w:rPr>
          <w:sz w:val="20"/>
        </w:rPr>
      </w:pPr>
      <w:r>
        <w:rPr>
          <w:sz w:val="20"/>
        </w:rPr>
        <w:t>Fengtai District, Beijing, PRC 100070</w:t>
      </w:r>
    </w:p>
    <w:p>
      <w:pPr>
        <w:pStyle w:val="TextBody"/>
        <w:shd w:fill="FFFFFF" w:val="clear"/>
        <w:bidi w:val="0"/>
        <w:spacing w:before="0" w:after="0"/>
        <w:ind w:left="0" w:right="0" w:firstLine="720"/>
        <w:jc w:val="both"/>
        <w:rPr>
          <w:sz w:val="20"/>
        </w:rPr>
      </w:pPr>
      <w:r>
        <w:rPr>
          <w:sz w:val="20"/>
        </w:rPr>
        <w:t>Attention: Mr. Handong Cheng</w:t>
      </w:r>
    </w:p>
    <w:p>
      <w:pPr>
        <w:pStyle w:val="TextBody"/>
        <w:shd w:fill="FFFFFF" w:val="clear"/>
        <w:bidi w:val="0"/>
        <w:spacing w:before="0" w:after="0"/>
        <w:ind w:left="0" w:right="0" w:firstLine="720"/>
        <w:jc w:val="both"/>
        <w:rPr>
          <w:sz w:val="20"/>
        </w:rPr>
      </w:pPr>
      <w:r>
        <w:rPr>
          <w:sz w:val="20"/>
        </w:rPr>
        <w:t>Tel. No.: +86-10-51600828</w:t>
      </w:r>
    </w:p>
    <w:p>
      <w:pPr>
        <w:pStyle w:val="TextBody"/>
        <w:shd w:fill="FFFFFF" w:val="clear"/>
        <w:bidi w:val="0"/>
        <w:spacing w:before="0" w:after="0"/>
        <w:ind w:left="0" w:right="0" w:firstLine="720"/>
        <w:jc w:val="both"/>
        <w:rPr>
          <w:sz w:val="20"/>
        </w:rPr>
      </w:pPr>
      <w:r>
        <w:rPr>
          <w:sz w:val="20"/>
        </w:rPr>
        <w:t>Fax No.: +86-10-51600328</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with copies (which copies shall not constitute notice to the Company) to:</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Loeb &amp; Loeb LLP</w:t>
      </w:r>
    </w:p>
    <w:p>
      <w:pPr>
        <w:pStyle w:val="TextBody"/>
        <w:shd w:fill="FFFFFF" w:val="clear"/>
        <w:bidi w:val="0"/>
        <w:spacing w:before="0" w:after="0"/>
        <w:ind w:left="0" w:right="0" w:firstLine="720"/>
        <w:jc w:val="both"/>
        <w:rPr>
          <w:sz w:val="20"/>
        </w:rPr>
      </w:pPr>
      <w:r>
        <w:rPr>
          <w:sz w:val="20"/>
        </w:rPr>
        <w:t>345 Park Avenue</w:t>
      </w:r>
    </w:p>
    <w:p>
      <w:pPr>
        <w:pStyle w:val="TextBody"/>
        <w:shd w:fill="FFFFFF" w:val="clear"/>
        <w:bidi w:val="0"/>
        <w:spacing w:before="0" w:after="0"/>
        <w:ind w:left="0" w:right="0" w:firstLine="720"/>
        <w:jc w:val="both"/>
        <w:rPr>
          <w:sz w:val="20"/>
        </w:rPr>
      </w:pPr>
      <w:r>
        <w:rPr>
          <w:sz w:val="20"/>
        </w:rPr>
        <w:t>New York, NY 10154</w:t>
      </w:r>
    </w:p>
    <w:p>
      <w:pPr>
        <w:pStyle w:val="TextBody"/>
        <w:shd w:fill="FFFFFF" w:val="clear"/>
        <w:bidi w:val="0"/>
        <w:spacing w:before="0" w:after="0"/>
        <w:ind w:left="0" w:right="0" w:firstLine="720"/>
        <w:jc w:val="both"/>
        <w:rPr>
          <w:sz w:val="20"/>
        </w:rPr>
      </w:pPr>
      <w:r>
        <w:rPr>
          <w:sz w:val="20"/>
        </w:rPr>
        <w:t>Attn.: Mitchell Nussbaum, Esq.</w:t>
      </w:r>
    </w:p>
    <w:p>
      <w:pPr>
        <w:pStyle w:val="TextBody"/>
        <w:shd w:fill="FFFFFF" w:val="clear"/>
        <w:bidi w:val="0"/>
        <w:spacing w:before="0" w:after="0"/>
        <w:ind w:left="0" w:right="0" w:firstLine="720"/>
        <w:jc w:val="both"/>
        <w:rPr>
          <w:sz w:val="20"/>
        </w:rPr>
      </w:pPr>
      <w:r>
        <w:rPr>
          <w:sz w:val="20"/>
        </w:rPr>
        <w:t>Tel. No.: (212) 407-4159</w:t>
      </w:r>
    </w:p>
    <w:p>
      <w:pPr>
        <w:pStyle w:val="TextBody"/>
        <w:shd w:fill="FFFFFF" w:val="clear"/>
        <w:bidi w:val="0"/>
        <w:spacing w:before="0" w:after="0"/>
        <w:ind w:left="0" w:right="0" w:firstLine="720"/>
        <w:jc w:val="both"/>
        <w:rPr>
          <w:sz w:val="20"/>
        </w:rPr>
      </w:pPr>
      <w:r>
        <w:rPr>
          <w:sz w:val="20"/>
        </w:rPr>
        <w:t>Fax No.: (212) 407-4990</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If to the Purchaser:</w:t>
      </w:r>
    </w:p>
    <w:p>
      <w:pPr>
        <w:pStyle w:val="TextBody"/>
        <w:shd w:fill="FFFFFF" w:val="clear"/>
        <w:bidi w:val="0"/>
        <w:spacing w:before="0" w:after="0"/>
        <w:ind w:left="0" w:right="0" w:firstLine="720"/>
        <w:jc w:val="both"/>
        <w:rPr>
          <w:sz w:val="20"/>
        </w:rPr>
      </w:pPr>
      <w:r>
        <w:rPr>
          <w:sz w:val="20"/>
        </w:rPr>
        <w:t>Chaucer Investment &amp; Consulting Limited</w:t>
      </w:r>
    </w:p>
    <w:p>
      <w:pPr>
        <w:pStyle w:val="TextBody"/>
        <w:shd w:fill="FFFFFF" w:val="clear"/>
        <w:bidi w:val="0"/>
        <w:spacing w:before="0" w:after="0"/>
        <w:ind w:left="0" w:right="0" w:firstLine="720"/>
        <w:jc w:val="both"/>
        <w:rPr>
          <w:sz w:val="20"/>
        </w:rPr>
      </w:pPr>
      <w:r>
        <w:rPr>
          <w:sz w:val="20"/>
        </w:rPr>
        <w:t>Room 1004-5, Summit Insurance Building, 789 Nathan Road, Mongkok, Kowloon</w:t>
      </w:r>
    </w:p>
    <w:p>
      <w:pPr>
        <w:pStyle w:val="TextBody"/>
        <w:shd w:fill="FFFFFF" w:val="clear"/>
        <w:bidi w:val="0"/>
        <w:spacing w:before="0" w:after="0"/>
        <w:ind w:left="0" w:right="0" w:firstLine="720"/>
        <w:jc w:val="both"/>
        <w:rPr>
          <w:sz w:val="20"/>
        </w:rPr>
      </w:pPr>
      <w:r>
        <w:rPr>
          <w:sz w:val="20"/>
        </w:rPr>
        <w:t>Attention: Lam Luk Sin</w:t>
      </w:r>
    </w:p>
    <w:p>
      <w:pPr>
        <w:pStyle w:val="TextBody"/>
        <w:shd w:fill="FFFFFF" w:val="clear"/>
        <w:bidi w:val="0"/>
        <w:spacing w:before="0" w:after="0"/>
        <w:ind w:left="0" w:right="0" w:firstLine="720"/>
        <w:jc w:val="both"/>
        <w:rPr>
          <w:sz w:val="20"/>
        </w:rPr>
      </w:pPr>
      <w:r>
        <w:rPr>
          <w:sz w:val="20"/>
        </w:rPr>
        <w:t>Tel. No.: (852) 60167727</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or to such other address as any party may specify by notice given to the other party in accordance with this Section 4.</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5. </w:t>
      </w:r>
      <w:r>
        <w:rPr>
          <w:sz w:val="20"/>
          <w:u w:val="single"/>
        </w:rPr>
        <w:t>Amendment</w:t>
      </w:r>
      <w:r>
        <w:rPr>
          <w:sz w:val="20"/>
        </w:rPr>
        <w:t>. This Agreement may not be modified, changed, supplemented, amended or terminated, nor may any obligations hereunder be waived, except by written instrument signed by the parties to be charged or by its agent duly authorized in writing or as otherwise expressly permitted herein.</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6. </w:t>
      </w:r>
      <w:r>
        <w:rPr>
          <w:sz w:val="20"/>
          <w:u w:val="single"/>
        </w:rPr>
        <w:t>Entire Agreement</w:t>
      </w:r>
      <w:r>
        <w:rPr>
          <w:sz w:val="20"/>
        </w:rPr>
        <w:t>. This Agreement contains the entire understanding and agreement of the parties relating to the subject matter hereof and supersedes all prior and/or contemporaneous understandings and agreements of any kind and nature (whether written or oral) among the parties with respect to such subject matter.</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7. </w:t>
      </w:r>
      <w:r>
        <w:rPr>
          <w:sz w:val="20"/>
          <w:u w:val="single"/>
        </w:rPr>
        <w:t>Governing Law</w:t>
      </w:r>
      <w:r>
        <w:rPr>
          <w:sz w:val="20"/>
        </w:rPr>
        <w:t>. This Agreement shall be governed by and construed in accordance with the internal laws of the State of New York, without giving effect to any of the conflicts of law principles which would result in the application of the substantive law of another jurisdiction. This Agreement shall not be interpreted or construed with any presumption against the party causing this Agreement to be drafted.</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8. </w:t>
      </w:r>
      <w:r>
        <w:rPr>
          <w:sz w:val="20"/>
          <w:u w:val="single"/>
        </w:rPr>
        <w:t>Severability</w:t>
      </w:r>
      <w:r>
        <w:rPr>
          <w:sz w:val="20"/>
        </w:rPr>
        <w:t>. The provisions of this Agreement are severable and, in the event that any court of competent jurisdiction shall determine that any one or more of the provisions or part of the provisions contained in this Agreement shall, for any reason, be held to be invalid, illegal or unenforceable in any respect, such invalidity, illegality or unenforceability shall not affect any other provision or part of a provision of this Agreement and such provision shall be reformed and construed as if such invalid or illegal or unenforceable provision, or part of such provision, had never been contained herein, so that such provisions would be valid, legal and enforceable to the maximum extent possible.</w:t>
      </w:r>
    </w:p>
    <w:p>
      <w:pPr>
        <w:pStyle w:val="TextBody"/>
        <w:shd w:fill="FFFFFF" w:val="clear"/>
        <w:bidi w:val="0"/>
        <w:spacing w:before="0" w:after="0"/>
        <w:ind w:left="0" w:right="0" w:firstLine="720"/>
        <w:jc w:val="both"/>
        <w:rPr/>
      </w:pPr>
      <w:r>
        <w:rPr/>
        <w:t> </w:t>
      </w:r>
    </w:p>
    <w:p>
      <w:pPr>
        <w:pStyle w:val="TextBody"/>
        <w:shd w:fill="FFFFFF" w:val="clear"/>
        <w:bidi w:val="0"/>
        <w:spacing w:before="0" w:after="0"/>
        <w:ind w:left="0" w:right="0" w:firstLine="720"/>
        <w:jc w:val="both"/>
        <w:rPr>
          <w:sz w:val="20"/>
        </w:rPr>
      </w:pPr>
      <w:r>
        <w:rPr>
          <w:sz w:val="20"/>
        </w:rPr>
        <w:t>9. </w:t>
      </w:r>
      <w:r>
        <w:rPr>
          <w:sz w:val="20"/>
          <w:u w:val="single"/>
        </w:rPr>
        <w:t>Binding Effect; Assignment</w:t>
      </w:r>
      <w:r>
        <w:rPr>
          <w:sz w:val="20"/>
        </w:rPr>
        <w:t>. This Agreement and the rights and obligations hereunder may not be assigned by the Purchaser hereto without the prior written consent of the Company. This Agreement shall be binding upon and shall inure to the benefit of the parties hereto and their respective successors and permitted assigns.</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10. </w:t>
      </w:r>
      <w:r>
        <w:rPr>
          <w:sz w:val="20"/>
          <w:u w:val="single"/>
        </w:rPr>
        <w:t>Headings</w:t>
      </w:r>
      <w:r>
        <w:rPr>
          <w:sz w:val="20"/>
        </w:rPr>
        <w:t>. The section headings contained in this Agreement are inserted for reference purposes only and shall not affect in any way the meaning, construction or interpretation of this Agreement. Any reference to the masculine, feminine, or neuter gender shall be a reference to such other gender as is appropriate. References to the singular shall include the plural and vice versa.</w:t>
      </w:r>
    </w:p>
    <w:p>
      <w:pPr>
        <w:pStyle w:val="TextBody"/>
        <w:shd w:fill="FFFFFF" w:val="clear"/>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11. </w:t>
      </w:r>
      <w:r>
        <w:rPr>
          <w:sz w:val="20"/>
          <w:u w:val="single"/>
        </w:rPr>
        <w:t>Counterparts</w:t>
      </w:r>
      <w:r>
        <w:rPr>
          <w:sz w:val="20"/>
        </w:rPr>
        <w:t>. This Agreement may be executed in any number of counterparts, each of which when so executed shall be deemed to be an original and, all of which taken together shall constitute one and the same Agreement and shall become effective when counterparts have been signed by each party and delivered to the other parties hereto, it being understood that all parties need not sign the same counterpart. In the event that any signature is delivered by facsimile transmission, such signature shall create a valid binding obligation of the party executing (or on whose behalf such signature is executed) the same with the same force and effect as if such facsimile signature were the original thereof.</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center"/>
        <w:rPr>
          <w:sz w:val="20"/>
        </w:rPr>
      </w:pPr>
      <w:r>
        <w:rPr>
          <w:sz w:val="20"/>
        </w:rPr>
        <w:t>[REMAINDER OF PAGE INTENTIONALLY LEFT BLANK]</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3</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IN WITNESS WHEREOF, the parties have executed this Agreement as of the date first written above herein.</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tbl>
      <w:tblPr>
        <w:tblW w:w="4879" w:type="dxa"/>
        <w:jc w:val="left"/>
        <w:tblInd w:w="0" w:type="dxa"/>
        <w:tblLayout w:type="fixed"/>
        <w:tblCellMar>
          <w:top w:w="0" w:type="dxa"/>
          <w:left w:w="0" w:type="dxa"/>
          <w:bottom w:w="0" w:type="dxa"/>
          <w:right w:w="0" w:type="dxa"/>
        </w:tblCellMar>
      </w:tblPr>
      <w:tblGrid>
        <w:gridCol w:w="75"/>
        <w:gridCol w:w="612"/>
        <w:gridCol w:w="4192"/>
      </w:tblGrid>
      <w:tr>
        <w:trPr/>
        <w:tc>
          <w:tcPr>
            <w:tcW w:w="75" w:type="dxa"/>
            <w:tcBorders/>
            <w:vAlign w:val="center"/>
          </w:tcPr>
          <w:p>
            <w:pPr>
              <w:pStyle w:val="TableContents"/>
              <w:bidi w:val="0"/>
              <w:spacing w:before="0" w:after="283"/>
              <w:jc w:val="both"/>
              <w:rPr/>
            </w:pPr>
            <w:r>
              <w:rPr/>
              <w:t> </w:t>
            </w:r>
          </w:p>
        </w:tc>
        <w:tc>
          <w:tcPr>
            <w:tcW w:w="4804" w:type="dxa"/>
            <w:gridSpan w:val="2"/>
            <w:tcBorders/>
            <w:vAlign w:val="center"/>
          </w:tcPr>
          <w:p>
            <w:pPr>
              <w:pStyle w:val="TableContents"/>
              <w:bidi w:val="0"/>
              <w:spacing w:before="0" w:after="283"/>
              <w:jc w:val="both"/>
              <w:rPr>
                <w:b/>
                <w:sz w:val="20"/>
              </w:rPr>
            </w:pPr>
            <w:r>
              <w:rPr>
                <w:b/>
                <w:sz w:val="20"/>
              </w:rPr>
              <w:t>ZW DATA ACTION TECHNOLOGIES INC.</w:t>
            </w:r>
          </w:p>
        </w:tc>
      </w:tr>
      <w:tr>
        <w:trPr/>
        <w:tc>
          <w:tcPr>
            <w:tcW w:w="75" w:type="dxa"/>
            <w:tcBorders/>
            <w:vAlign w:val="center"/>
          </w:tcPr>
          <w:p>
            <w:pPr>
              <w:pStyle w:val="TableContents"/>
              <w:bidi w:val="0"/>
              <w:spacing w:before="0" w:after="283"/>
              <w:jc w:val="both"/>
              <w:rPr/>
            </w:pPr>
            <w:r>
              <w:rPr/>
              <w:t> </w:t>
            </w:r>
          </w:p>
        </w:tc>
        <w:tc>
          <w:tcPr>
            <w:tcW w:w="612" w:type="dxa"/>
            <w:tcBorders/>
            <w:vAlign w:val="center"/>
          </w:tcPr>
          <w:p>
            <w:pPr>
              <w:pStyle w:val="TableContents"/>
              <w:bidi w:val="0"/>
              <w:spacing w:before="0" w:after="283"/>
              <w:jc w:val="both"/>
              <w:rPr/>
            </w:pPr>
            <w:r>
              <w:rPr/>
              <w:t> </w:t>
            </w:r>
          </w:p>
        </w:tc>
        <w:tc>
          <w:tcPr>
            <w:tcW w:w="4192" w:type="dxa"/>
            <w:tcBorders/>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tc>
      </w:tr>
      <w:tr>
        <w:trPr/>
        <w:tc>
          <w:tcPr>
            <w:tcW w:w="75" w:type="dxa"/>
            <w:tcBorders/>
            <w:vAlign w:val="center"/>
          </w:tcPr>
          <w:p>
            <w:pPr>
              <w:pStyle w:val="TableContents"/>
              <w:bidi w:val="0"/>
              <w:spacing w:before="0" w:after="283"/>
              <w:jc w:val="both"/>
              <w:rPr/>
            </w:pPr>
            <w:r>
              <w:rPr/>
              <w:t> </w:t>
            </w:r>
          </w:p>
        </w:tc>
        <w:tc>
          <w:tcPr>
            <w:tcW w:w="612" w:type="dxa"/>
            <w:tcBorders/>
            <w:vAlign w:val="center"/>
          </w:tcPr>
          <w:p>
            <w:pPr>
              <w:pStyle w:val="TableContents"/>
              <w:bidi w:val="0"/>
              <w:spacing w:before="0" w:after="283"/>
              <w:jc w:val="both"/>
              <w:rPr>
                <w:sz w:val="20"/>
              </w:rPr>
            </w:pPr>
            <w:r>
              <w:rPr>
                <w:sz w:val="20"/>
              </w:rPr>
              <w:t>By:</w:t>
            </w:r>
          </w:p>
        </w:tc>
        <w:tc>
          <w:tcPr>
            <w:tcW w:w="4192" w:type="dxa"/>
            <w:tcBorders>
              <w:bottom w:val="single" w:sz="8" w:space="0" w:color="000000"/>
            </w:tcBorders>
            <w:tcMar>
              <w:bottom w:w="28" w:type="dxa"/>
            </w:tcMar>
            <w:vAlign w:val="center"/>
          </w:tcPr>
          <w:p>
            <w:pPr>
              <w:pStyle w:val="TableContents"/>
              <w:bidi w:val="0"/>
              <w:spacing w:before="0" w:after="283"/>
              <w:jc w:val="both"/>
              <w:rPr/>
            </w:pPr>
            <w:r>
              <w:rPr/>
              <w:t>/s/ Handong Cheng</w:t>
            </w:r>
          </w:p>
        </w:tc>
      </w:tr>
      <w:tr>
        <w:trPr/>
        <w:tc>
          <w:tcPr>
            <w:tcW w:w="75" w:type="dxa"/>
            <w:tcBorders/>
            <w:vAlign w:val="center"/>
          </w:tcPr>
          <w:p>
            <w:pPr>
              <w:pStyle w:val="TableContents"/>
              <w:bidi w:val="0"/>
              <w:spacing w:before="0" w:after="283"/>
              <w:jc w:val="both"/>
              <w:rPr/>
            </w:pPr>
            <w:r>
              <w:rPr/>
              <w:t> </w:t>
            </w:r>
          </w:p>
        </w:tc>
        <w:tc>
          <w:tcPr>
            <w:tcW w:w="612" w:type="dxa"/>
            <w:tcBorders/>
            <w:vAlign w:val="center"/>
          </w:tcPr>
          <w:p>
            <w:pPr>
              <w:pStyle w:val="TableContents"/>
              <w:bidi w:val="0"/>
              <w:spacing w:before="0" w:after="283"/>
              <w:jc w:val="both"/>
              <w:rPr/>
            </w:pPr>
            <w:r>
              <w:rPr/>
              <w:t> </w:t>
            </w:r>
          </w:p>
        </w:tc>
        <w:tc>
          <w:tcPr>
            <w:tcW w:w="4192" w:type="dxa"/>
            <w:tcBorders/>
            <w:vAlign w:val="center"/>
          </w:tcPr>
          <w:p>
            <w:pPr>
              <w:pStyle w:val="TableContents"/>
              <w:bidi w:val="0"/>
              <w:spacing w:before="0" w:after="283"/>
              <w:jc w:val="both"/>
              <w:rPr>
                <w:sz w:val="20"/>
              </w:rPr>
            </w:pPr>
            <w:r>
              <w:rPr>
                <w:sz w:val="20"/>
              </w:rPr>
              <w:t>Name: Handong Cheng</w:t>
            </w:r>
          </w:p>
        </w:tc>
      </w:tr>
      <w:tr>
        <w:trPr/>
        <w:tc>
          <w:tcPr>
            <w:tcW w:w="75" w:type="dxa"/>
            <w:tcBorders/>
            <w:vAlign w:val="center"/>
          </w:tcPr>
          <w:p>
            <w:pPr>
              <w:pStyle w:val="TableContents"/>
              <w:bidi w:val="0"/>
              <w:spacing w:before="0" w:after="283"/>
              <w:jc w:val="both"/>
              <w:rPr/>
            </w:pPr>
            <w:r>
              <w:rPr/>
              <w:t> </w:t>
            </w:r>
          </w:p>
        </w:tc>
        <w:tc>
          <w:tcPr>
            <w:tcW w:w="612" w:type="dxa"/>
            <w:tcBorders/>
            <w:vAlign w:val="center"/>
          </w:tcPr>
          <w:p>
            <w:pPr>
              <w:pStyle w:val="TableContents"/>
              <w:bidi w:val="0"/>
              <w:spacing w:before="0" w:after="283"/>
              <w:jc w:val="both"/>
              <w:rPr/>
            </w:pPr>
            <w:r>
              <w:rPr/>
              <w:t> </w:t>
            </w:r>
          </w:p>
        </w:tc>
        <w:tc>
          <w:tcPr>
            <w:tcW w:w="4192" w:type="dxa"/>
            <w:tcBorders/>
            <w:vAlign w:val="center"/>
          </w:tcPr>
          <w:p>
            <w:pPr>
              <w:pStyle w:val="TableContents"/>
              <w:bidi w:val="0"/>
              <w:spacing w:before="0" w:after="283"/>
              <w:jc w:val="both"/>
              <w:rPr>
                <w:sz w:val="20"/>
              </w:rPr>
            </w:pPr>
            <w:r>
              <w:rPr>
                <w:sz w:val="20"/>
              </w:rPr>
              <w:t>Title:  Chief Executive Officer</w:t>
            </w:r>
          </w:p>
        </w:tc>
      </w:tr>
      <w:tr>
        <w:trPr/>
        <w:tc>
          <w:tcPr>
            <w:tcW w:w="75" w:type="dxa"/>
            <w:tcBorders/>
            <w:vAlign w:val="center"/>
          </w:tcPr>
          <w:p>
            <w:pPr>
              <w:pStyle w:val="TableContents"/>
              <w:bidi w:val="0"/>
              <w:spacing w:before="0" w:after="283"/>
              <w:jc w:val="both"/>
              <w:rPr/>
            </w:pPr>
            <w:r>
              <w:rPr/>
              <w:t> </w:t>
            </w:r>
          </w:p>
        </w:tc>
        <w:tc>
          <w:tcPr>
            <w:tcW w:w="612" w:type="dxa"/>
            <w:tcBorders/>
            <w:vAlign w:val="center"/>
          </w:tcPr>
          <w:p>
            <w:pPr>
              <w:pStyle w:val="TableContents"/>
              <w:bidi w:val="0"/>
              <w:spacing w:before="0" w:after="283"/>
              <w:jc w:val="both"/>
              <w:rPr/>
            </w:pPr>
            <w:r>
              <w:rPr/>
              <w:t> </w:t>
            </w:r>
          </w:p>
        </w:tc>
        <w:tc>
          <w:tcPr>
            <w:tcW w:w="419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804" w:type="dxa"/>
            <w:gridSpan w:val="2"/>
            <w:tcBorders/>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both"/>
              <w:rPr>
                <w:b/>
                <w:sz w:val="20"/>
              </w:rPr>
            </w:pPr>
            <w:r>
              <w:rPr>
                <w:b/>
                <w:sz w:val="20"/>
              </w:rPr>
              <w:t>PURCHASER:</w:t>
            </w:r>
          </w:p>
        </w:tc>
      </w:tr>
      <w:tr>
        <w:trPr/>
        <w:tc>
          <w:tcPr>
            <w:tcW w:w="75" w:type="dxa"/>
            <w:tcBorders/>
            <w:vAlign w:val="center"/>
          </w:tcPr>
          <w:p>
            <w:pPr>
              <w:pStyle w:val="TableContents"/>
              <w:bidi w:val="0"/>
              <w:spacing w:before="0" w:after="283"/>
              <w:jc w:val="both"/>
              <w:rPr/>
            </w:pPr>
            <w:r>
              <w:rPr/>
              <w:t> </w:t>
            </w:r>
          </w:p>
        </w:tc>
        <w:tc>
          <w:tcPr>
            <w:tcW w:w="4804" w:type="dxa"/>
            <w:gridSpan w:val="2"/>
            <w:tcBorders/>
            <w:vAlign w:val="center"/>
          </w:tcPr>
          <w:p>
            <w:pPr>
              <w:pStyle w:val="TableContents"/>
              <w:bidi w:val="0"/>
              <w:spacing w:before="0" w:after="0"/>
              <w:ind w:left="0" w:right="0" w:hanging="0"/>
              <w:jc w:val="left"/>
              <w:rPr>
                <w:b/>
                <w:caps/>
                <w:sz w:val="20"/>
              </w:rPr>
            </w:pPr>
            <w:r>
              <w:rPr>
                <w:b/>
                <w:caps/>
                <w:sz w:val="20"/>
              </w:rPr>
              <w:t>Chaucer Investment &amp; Consulting Limited</w:t>
            </w:r>
          </w:p>
          <w:p>
            <w:pPr>
              <w:pStyle w:val="TableContents"/>
              <w:bidi w:val="0"/>
              <w:spacing w:before="0" w:after="0"/>
              <w:ind w:left="0" w:right="0" w:hanging="0"/>
              <w:jc w:val="both"/>
              <w:rPr/>
            </w:pPr>
            <w:r>
              <w:rPr/>
              <w:t> </w:t>
            </w:r>
          </w:p>
        </w:tc>
      </w:tr>
      <w:tr>
        <w:trPr/>
        <w:tc>
          <w:tcPr>
            <w:tcW w:w="75" w:type="dxa"/>
            <w:tcBorders/>
            <w:vAlign w:val="center"/>
          </w:tcPr>
          <w:p>
            <w:pPr>
              <w:pStyle w:val="TableContents"/>
              <w:bidi w:val="0"/>
              <w:spacing w:before="0" w:after="283"/>
              <w:jc w:val="both"/>
              <w:rPr/>
            </w:pPr>
            <w:r>
              <w:rPr/>
              <w:t> </w:t>
            </w:r>
          </w:p>
        </w:tc>
        <w:tc>
          <w:tcPr>
            <w:tcW w:w="612" w:type="dxa"/>
            <w:tcBorders/>
            <w:vAlign w:val="center"/>
          </w:tcPr>
          <w:p>
            <w:pPr>
              <w:pStyle w:val="TableContents"/>
              <w:bidi w:val="0"/>
              <w:spacing w:before="0" w:after="283"/>
              <w:jc w:val="left"/>
              <w:rPr>
                <w:sz w:val="4"/>
                <w:szCs w:val="4"/>
              </w:rPr>
            </w:pPr>
            <w:r>
              <w:rPr>
                <w:sz w:val="4"/>
                <w:szCs w:val="4"/>
              </w:rPr>
            </w:r>
          </w:p>
        </w:tc>
        <w:tc>
          <w:tcPr>
            <w:tcW w:w="4192" w:type="dxa"/>
            <w:tcBorders/>
            <w:vAlign w:val="center"/>
          </w:tcPr>
          <w:p>
            <w:pPr>
              <w:pStyle w:val="TableContents"/>
              <w:bidi w:val="0"/>
              <w:spacing w:before="0" w:after="0"/>
              <w:ind w:left="0" w:right="0" w:hanging="0"/>
              <w:jc w:val="both"/>
              <w:rPr/>
            </w:pPr>
            <w:r>
              <w:rPr/>
              <w:t> </w:t>
            </w:r>
          </w:p>
        </w:tc>
      </w:tr>
      <w:tr>
        <w:trPr/>
        <w:tc>
          <w:tcPr>
            <w:tcW w:w="75" w:type="dxa"/>
            <w:tcBorders/>
            <w:vAlign w:val="center"/>
          </w:tcPr>
          <w:p>
            <w:pPr>
              <w:pStyle w:val="TableContents"/>
              <w:bidi w:val="0"/>
              <w:spacing w:before="0" w:after="283"/>
              <w:jc w:val="both"/>
              <w:rPr/>
            </w:pPr>
            <w:r>
              <w:rPr/>
              <w:t> </w:t>
            </w:r>
          </w:p>
        </w:tc>
        <w:tc>
          <w:tcPr>
            <w:tcW w:w="612" w:type="dxa"/>
            <w:tcBorders/>
            <w:vAlign w:val="center"/>
          </w:tcPr>
          <w:p>
            <w:pPr>
              <w:pStyle w:val="TableContents"/>
              <w:bidi w:val="0"/>
              <w:spacing w:before="0" w:after="283"/>
              <w:jc w:val="both"/>
              <w:rPr/>
            </w:pPr>
            <w:r>
              <w:rPr/>
              <w:t>By:</w:t>
            </w:r>
          </w:p>
        </w:tc>
        <w:tc>
          <w:tcPr>
            <w:tcW w:w="4192" w:type="dxa"/>
            <w:tcBorders>
              <w:bottom w:val="single" w:sz="8" w:space="0" w:color="000000"/>
            </w:tcBorders>
            <w:tcMar>
              <w:bottom w:w="28" w:type="dxa"/>
            </w:tcMar>
            <w:vAlign w:val="center"/>
          </w:tcPr>
          <w:p>
            <w:pPr>
              <w:pStyle w:val="TableContents"/>
              <w:bidi w:val="0"/>
              <w:spacing w:before="0" w:after="283"/>
              <w:jc w:val="both"/>
              <w:rPr/>
            </w:pPr>
            <w:r>
              <w:rPr/>
              <w:t>/s/ Lam Luk Sin</w:t>
            </w:r>
          </w:p>
        </w:tc>
      </w:tr>
      <w:tr>
        <w:trPr/>
        <w:tc>
          <w:tcPr>
            <w:tcW w:w="75" w:type="dxa"/>
            <w:tcBorders/>
            <w:vAlign w:val="center"/>
          </w:tcPr>
          <w:p>
            <w:pPr>
              <w:pStyle w:val="TableContents"/>
              <w:bidi w:val="0"/>
              <w:spacing w:before="0" w:after="283"/>
              <w:jc w:val="both"/>
              <w:rPr/>
            </w:pPr>
            <w:r>
              <w:rPr/>
              <w:t> </w:t>
            </w:r>
          </w:p>
        </w:tc>
        <w:tc>
          <w:tcPr>
            <w:tcW w:w="612" w:type="dxa"/>
            <w:tcBorders/>
            <w:vAlign w:val="center"/>
          </w:tcPr>
          <w:p>
            <w:pPr>
              <w:pStyle w:val="TableContents"/>
              <w:bidi w:val="0"/>
              <w:spacing w:before="0" w:after="283"/>
              <w:jc w:val="both"/>
              <w:rPr/>
            </w:pPr>
            <w:r>
              <w:rPr/>
              <w:t> </w:t>
            </w:r>
          </w:p>
        </w:tc>
        <w:tc>
          <w:tcPr>
            <w:tcW w:w="4192" w:type="dxa"/>
            <w:tcBorders/>
            <w:vAlign w:val="center"/>
          </w:tcPr>
          <w:p>
            <w:pPr>
              <w:pStyle w:val="TableContents"/>
              <w:bidi w:val="0"/>
              <w:spacing w:before="0" w:after="283"/>
              <w:jc w:val="both"/>
              <w:rPr>
                <w:sz w:val="20"/>
              </w:rPr>
            </w:pPr>
            <w:r>
              <w:rPr>
                <w:sz w:val="20"/>
              </w:rPr>
              <w:t>Name:  Lam Luk Sin</w:t>
            </w:r>
          </w:p>
        </w:tc>
      </w:tr>
      <w:tr>
        <w:trPr/>
        <w:tc>
          <w:tcPr>
            <w:tcW w:w="75" w:type="dxa"/>
            <w:tcBorders/>
            <w:vAlign w:val="center"/>
          </w:tcPr>
          <w:p>
            <w:pPr>
              <w:pStyle w:val="TableContents"/>
              <w:bidi w:val="0"/>
              <w:spacing w:before="0" w:after="283"/>
              <w:jc w:val="both"/>
              <w:rPr/>
            </w:pPr>
            <w:r>
              <w:rPr/>
              <w:t> </w:t>
            </w:r>
          </w:p>
        </w:tc>
        <w:tc>
          <w:tcPr>
            <w:tcW w:w="612" w:type="dxa"/>
            <w:tcBorders/>
            <w:vAlign w:val="center"/>
          </w:tcPr>
          <w:p>
            <w:pPr>
              <w:pStyle w:val="TableContents"/>
              <w:bidi w:val="0"/>
              <w:spacing w:before="0" w:after="283"/>
              <w:jc w:val="both"/>
              <w:rPr/>
            </w:pPr>
            <w:r>
              <w:rPr/>
              <w:t> </w:t>
            </w:r>
          </w:p>
        </w:tc>
        <w:tc>
          <w:tcPr>
            <w:tcW w:w="4192" w:type="dxa"/>
            <w:tcBorders/>
            <w:vAlign w:val="center"/>
          </w:tcPr>
          <w:p>
            <w:pPr>
              <w:pStyle w:val="TableContents"/>
              <w:bidi w:val="0"/>
              <w:spacing w:before="0" w:after="283"/>
              <w:jc w:val="both"/>
              <w:rPr>
                <w:sz w:val="20"/>
              </w:rPr>
            </w:pPr>
            <w:r>
              <w:rPr>
                <w:sz w:val="20"/>
              </w:rPr>
              <w:t>Title: Director</w:t>
            </w:r>
          </w:p>
        </w:tc>
      </w:tr>
    </w:tbl>
    <w:p>
      <w:pPr>
        <w:pStyle w:val="TextBody"/>
        <w:shd w:fill="FFFFFF" w:val="clear"/>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jc w:val="right"/>
        <w:rPr/>
      </w:pPr>
      <w:r>
        <w:rPr/>
        <w:t>4</w:t>
      </w:r>
    </w:p>
    <w:p>
      <w:pPr>
        <w:pStyle w:val="TextBody"/>
        <w:bidi w:val="0"/>
        <w:spacing w:before="60" w:after="60"/>
        <w:ind w:left="60" w:right="60" w:hanging="0"/>
        <w:jc w:val="left"/>
        <w:rPr>
          <w:bdr w:val="single" w:sz="24" w:space="1" w:color="000000"/>
        </w:rPr>
      </w:pPr>
      <w:r>
        <w:rPr>
          <w:bdr w:val="single" w:sz="24"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imSu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36774</Words>
  <Characters>196594</Characters>
  <CharactersWithSpaces>233443</CharactersWithSpaces>
  <Paragraphs>1477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