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Times;Serif" w:hAnsi="Times New Roman;Times;Serif"/>
          <w:b/>
          <w:i w:val="false"/>
          <w:caps w:val="false"/>
          <w:smallCaps w:val="false"/>
          <w:sz w:val="20"/>
        </w:rPr>
      </w:pPr>
      <w:bookmarkStart w:id="0" w:name="f8k_032726.htm"/>
      <w:bookmarkStart w:id="1" w:name="ksf8k_032726"/>
      <w:bookmarkEnd w:id="0"/>
      <w:bookmarkEnd w:id="1"/>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60326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w:t>
        <w:b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val="false"/>
          <w:i w:val="false"/>
          <w:caps w:val="false"/>
          <w:smallCaps w:val="false"/>
          <w:sz w:val="20"/>
        </w:rPr>
        <w:t>March 26,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bookmarkStart w:id="4" w:name="xdx_90E_edei--EntityRegistrantName_c2026"/>
      <w:bookmarkEnd w:id="4"/>
      <w:r>
        <w:rPr>
          <w:rFonts w:ascii="Times New Roman;Times;Serif" w:hAnsi="Times New Roman;Times;Serif"/>
          <w:b w:val="false"/>
          <w:i w:val="false"/>
          <w:caps w:val="false"/>
          <w:smallCaps w:val="false"/>
          <w:sz w:val="20"/>
          <w:u w:val="single"/>
        </w:rPr>
        <w:t>ZW Data Action Technologies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jc w:val="center"/>
        <w:rPr>
          <w:caps w:val="false"/>
          <w:smallCaps w:val="false"/>
        </w:rPr>
      </w:pPr>
      <w:r>
        <w:rPr>
          <w:caps w:val="false"/>
          <w:smallCaps w:val="false"/>
        </w:rPr>
        <w:t> </w:t>
      </w:r>
    </w:p>
    <w:tbl>
      <w:tblPr>
        <w:tblW w:w="8745" w:type="dxa"/>
        <w:jc w:val="left"/>
        <w:tblInd w:w="0" w:type="dxa"/>
        <w:tblLayout w:type="fixed"/>
        <w:tblCellMar>
          <w:top w:w="0" w:type="dxa"/>
          <w:left w:w="0" w:type="dxa"/>
          <w:bottom w:w="0" w:type="dxa"/>
          <w:right w:w="0" w:type="dxa"/>
        </w:tblCellMar>
      </w:tblPr>
      <w:tblGrid>
        <w:gridCol w:w="3635"/>
        <w:gridCol w:w="60"/>
        <w:gridCol w:w="2210"/>
        <w:gridCol w:w="60"/>
        <w:gridCol w:w="2780"/>
      </w:tblGrid>
      <w:tr>
        <w:trPr/>
        <w:tc>
          <w:tcPr>
            <w:tcW w:w="3635" w:type="dxa"/>
            <w:tcBorders/>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bookmarkStart w:id="5" w:name="xdx_90B_edei--EntityIncorporationStateCo"/>
            <w:bookmarkEnd w:id="5"/>
            <w:r>
              <w:rPr>
                <w:rFonts w:ascii="Times New Roman;Times;Serif" w:hAnsi="Times New Roman;Times;Serif"/>
                <w:b w:val="false"/>
                <w:i w:val="false"/>
                <w:caps w:val="false"/>
                <w:smallCaps w:val="false"/>
                <w:color w:val="000000"/>
                <w:sz w:val="20"/>
              </w:rPr>
              <w:t>Nevada</w:t>
            </w:r>
          </w:p>
        </w:tc>
        <w:tc>
          <w:tcPr>
            <w:tcW w:w="60" w:type="dxa"/>
            <w:tcBorders/>
            <w:vAlign w:val="center"/>
          </w:tcPr>
          <w:p>
            <w:pPr>
              <w:pStyle w:val="TableContents"/>
              <w:bidi w:val="0"/>
              <w:spacing w:before="0" w:after="0"/>
              <w:jc w:val="left"/>
              <w:rPr>
                <w:caps w:val="false"/>
                <w:smallCaps w:val="false"/>
                <w:color w:val="000000"/>
              </w:rPr>
            </w:pPr>
            <w:r>
              <w:rPr>
                <w:caps w:val="false"/>
                <w:smallCaps w:val="false"/>
                <w:color w:val="000000"/>
              </w:rPr>
              <w:t> </w:t>
            </w:r>
          </w:p>
        </w:tc>
        <w:tc>
          <w:tcPr>
            <w:tcW w:w="2210" w:type="dxa"/>
            <w:tcBorders/>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bookmarkStart w:id="6" w:name="xdx_90C_edei--EntityFileNumber_c20260326"/>
            <w:bookmarkEnd w:id="6"/>
            <w:r>
              <w:rPr>
                <w:rFonts w:ascii="Times New Roman;Times;Serif" w:hAnsi="Times New Roman;Times;Serif"/>
                <w:b w:val="false"/>
                <w:i w:val="false"/>
                <w:caps w:val="false"/>
                <w:smallCaps w:val="false"/>
                <w:color w:val="000000"/>
                <w:sz w:val="20"/>
              </w:rPr>
              <w:t>001-34647</w:t>
            </w:r>
          </w:p>
        </w:tc>
        <w:tc>
          <w:tcPr>
            <w:tcW w:w="60" w:type="dxa"/>
            <w:tcBorders/>
            <w:vAlign w:val="center"/>
          </w:tcPr>
          <w:p>
            <w:pPr>
              <w:pStyle w:val="TableContents"/>
              <w:bidi w:val="0"/>
              <w:spacing w:before="0" w:after="0"/>
              <w:jc w:val="left"/>
              <w:rPr>
                <w:caps w:val="false"/>
                <w:smallCaps w:val="false"/>
                <w:color w:val="000000"/>
              </w:rPr>
            </w:pPr>
            <w:r>
              <w:rPr>
                <w:caps w:val="false"/>
                <w:smallCaps w:val="false"/>
                <w:color w:val="000000"/>
              </w:rPr>
              <w:t> </w:t>
            </w:r>
          </w:p>
        </w:tc>
        <w:tc>
          <w:tcPr>
            <w:tcW w:w="2780" w:type="dxa"/>
            <w:tcBorders/>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bookmarkStart w:id="7" w:name="xdx_90F_edei--EntityTaxIdentificationNum"/>
            <w:bookmarkEnd w:id="7"/>
            <w:r>
              <w:rPr>
                <w:rFonts w:ascii="Times New Roman;Times;Serif" w:hAnsi="Times New Roman;Times;Serif"/>
                <w:b w:val="false"/>
                <w:i w:val="false"/>
                <w:caps w:val="false"/>
                <w:smallCaps w:val="false"/>
                <w:color w:val="000000"/>
                <w:sz w:val="20"/>
              </w:rPr>
              <w:t>20-4672080</w:t>
            </w:r>
          </w:p>
        </w:tc>
      </w:tr>
      <w:tr>
        <w:trPr/>
        <w:tc>
          <w:tcPr>
            <w:tcW w:w="3635" w:type="dxa"/>
            <w:tcBorders/>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(State or Other Jurisdiction of Incorporation)</w:t>
            </w:r>
          </w:p>
        </w:tc>
        <w:tc>
          <w:tcPr>
            <w:tcW w:w="60" w:type="dxa"/>
            <w:tcBorders/>
            <w:vAlign w:val="center"/>
          </w:tcPr>
          <w:p>
            <w:pPr>
              <w:pStyle w:val="TableContents"/>
              <w:bidi w:val="0"/>
              <w:spacing w:before="0" w:after="0"/>
              <w:jc w:val="left"/>
              <w:rPr>
                <w:caps w:val="false"/>
                <w:smallCaps w:val="false"/>
                <w:color w:val="000000"/>
              </w:rPr>
            </w:pPr>
            <w:r>
              <w:rPr>
                <w:caps w:val="false"/>
                <w:smallCaps w:val="false"/>
                <w:color w:val="000000"/>
              </w:rPr>
              <w:t> </w:t>
            </w:r>
          </w:p>
        </w:tc>
        <w:tc>
          <w:tcPr>
            <w:tcW w:w="2210" w:type="dxa"/>
            <w:tcBorders/>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(Commission File Number)</w:t>
            </w:r>
          </w:p>
        </w:tc>
        <w:tc>
          <w:tcPr>
            <w:tcW w:w="60" w:type="dxa"/>
            <w:tcBorders/>
            <w:vAlign w:val="center"/>
          </w:tcPr>
          <w:p>
            <w:pPr>
              <w:pStyle w:val="TableContents"/>
              <w:bidi w:val="0"/>
              <w:spacing w:before="0" w:after="0"/>
              <w:jc w:val="left"/>
              <w:rPr>
                <w:caps w:val="false"/>
                <w:smallCaps w:val="false"/>
                <w:color w:val="000000"/>
              </w:rPr>
            </w:pPr>
            <w:r>
              <w:rPr>
                <w:caps w:val="false"/>
                <w:smallCaps w:val="false"/>
                <w:color w:val="000000"/>
              </w:rPr>
              <w:t> </w:t>
            </w:r>
          </w:p>
        </w:tc>
        <w:tc>
          <w:tcPr>
            <w:tcW w:w="2780" w:type="dxa"/>
            <w:tcBorders/>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(IRS Employer Identification No.)</w:t>
            </w:r>
          </w:p>
        </w:tc>
      </w:tr>
    </w:tbl>
    <w:p>
      <w:pPr>
        <w:pStyle w:val="TextBody"/>
        <w:bidi w:val="0"/>
        <w:spacing w:before="0" w:after="0"/>
        <w:jc w:val="left"/>
        <w:rPr>
          <w:caps w:val="false"/>
          <w:smallCaps w:val="false"/>
        </w:rPr>
      </w:pPr>
      <w:r>
        <w:rPr>
          <w:caps w:val="false"/>
          <w:smallCaps w:val="false"/>
        </w:rPr>
        <w:t> </w:t>
      </w:r>
    </w:p>
    <w:tbl>
      <w:tblPr>
        <w:tblW w:w="6335" w:type="dxa"/>
        <w:jc w:val="left"/>
        <w:tblInd w:w="0" w:type="dxa"/>
        <w:tblLayout w:type="fixed"/>
        <w:tblCellMar>
          <w:top w:w="0" w:type="dxa"/>
          <w:left w:w="0" w:type="dxa"/>
          <w:bottom w:w="28" w:type="dxa"/>
          <w:right w:w="0" w:type="dxa"/>
        </w:tblCellMar>
      </w:tblPr>
      <w:tblGrid>
        <w:gridCol w:w="6335"/>
      </w:tblGrid>
      <w:tr>
        <w:trPr/>
        <w:tc>
          <w:tcPr>
            <w:tcW w:w="6335" w:type="dxa"/>
            <w:tcBorders>
              <w:bottom w:val="single" w:sz="8" w:space="0" w:color="000000"/>
            </w:tcBorders>
            <w:vAlign w:val="center"/>
          </w:tcPr>
          <w:p>
            <w:pPr>
              <w:pStyle w:val="TableContents"/>
              <w:bidi w:val="0"/>
              <w:jc w:val="center"/>
              <w:rPr>
                <w:sz w:val="20"/>
              </w:rPr>
            </w:pPr>
            <w:bookmarkStart w:id="8" w:name="xdx_900_edei--EntityAddressAddressLine1_"/>
            <w:bookmarkEnd w:id="8"/>
            <w:r>
              <w:rPr>
                <w:sz w:val="20"/>
              </w:rPr>
              <w:t>8/F, 29 Des Voeux Road Central, Central,</w:t>
            </w:r>
          </w:p>
          <w:p>
            <w:pPr>
              <w:pStyle w:val="TableContents"/>
              <w:bidi w:val="0"/>
              <w:spacing w:before="0" w:after="283"/>
              <w:jc w:val="center"/>
              <w:rPr>
                <w:sz w:val="20"/>
              </w:rPr>
            </w:pPr>
            <w:bookmarkStart w:id="9" w:name="xdx_90A_edei--EntityAddressCityOrTown_c2"/>
            <w:bookmarkEnd w:id="9"/>
            <w:r>
              <w:rPr>
                <w:sz w:val="20"/>
              </w:rPr>
              <w:t xml:space="preserve">Hong Kong Special Administrative Region of the People’s Republic of </w:t>
            </w:r>
            <w:bookmarkStart w:id="10" w:name="xdx_90D_edei--EntityAddressCountry_c2026"/>
            <w:bookmarkEnd w:id="10"/>
            <w:r>
              <w:rPr>
                <w:sz w:val="20"/>
              </w:rPr>
              <w:t>China</w:t>
            </w:r>
          </w:p>
        </w:tc>
      </w:tr>
      <w:tr>
        <w:trPr/>
        <w:tc>
          <w:tcPr>
            <w:tcW w:w="6335" w:type="dxa"/>
            <w:tcBorders/>
            <w:tcMar>
              <w:bottom w:w="0" w:type="dxa"/>
            </w:tcMar>
            <w:vAlign w:val="center"/>
          </w:tcPr>
          <w:p>
            <w:pPr>
              <w:pStyle w:val="TableContents"/>
              <w:bidi w:val="0"/>
              <w:ind w:left="480" w:right="372" w:hanging="0"/>
              <w:jc w:val="center"/>
              <w:rPr>
                <w:sz w:val="20"/>
              </w:rPr>
            </w:pPr>
            <w:r>
              <w:rPr>
                <w:sz w:val="20"/>
              </w:rPr>
              <w:t>(Address of Principal Executive Offices and Zip Code)</w:t>
            </w:r>
          </w:p>
          <w:p>
            <w:pPr>
              <w:pStyle w:val="TableContents"/>
              <w:bidi w:val="0"/>
              <w:spacing w:before="0" w:after="283"/>
              <w:ind w:left="480" w:right="372" w:hanging="0"/>
              <w:jc w:val="center"/>
              <w:rPr/>
            </w:pPr>
            <w:r>
              <w:rPr/>
              <w:t> </w:t>
            </w:r>
          </w:p>
        </w:tc>
      </w:tr>
    </w:tbl>
    <w:p>
      <w:pPr>
        <w:pStyle w:val="TextBody"/>
        <w:bidi w:val="0"/>
        <w:jc w:val="center"/>
        <w:rPr>
          <w:sz w:val="20"/>
        </w:rPr>
      </w:pPr>
      <w:r>
        <w:rPr>
          <w:sz w:val="20"/>
        </w:rPr>
        <w:t>Registrant’s telephone number, including area code:</w:t>
      </w:r>
    </w:p>
    <w:p>
      <w:pPr>
        <w:pStyle w:val="TextBody"/>
        <w:bidi w:val="0"/>
        <w:jc w:val="center"/>
        <w:rPr/>
      </w:pPr>
      <w:r>
        <w:rPr/>
        <w:t> </w:t>
      </w:r>
    </w:p>
    <w:tbl>
      <w:tblPr>
        <w:tblW w:w="1415" w:type="dxa"/>
        <w:jc w:val="left"/>
        <w:tblInd w:w="0" w:type="dxa"/>
        <w:tblLayout w:type="fixed"/>
        <w:tblCellMar>
          <w:top w:w="0" w:type="dxa"/>
          <w:left w:w="0" w:type="dxa"/>
          <w:bottom w:w="0" w:type="dxa"/>
          <w:right w:w="0" w:type="dxa"/>
        </w:tblCellMar>
      </w:tblPr>
      <w:tblGrid>
        <w:gridCol w:w="1415"/>
      </w:tblGrid>
      <w:tr>
        <w:trPr/>
        <w:tc>
          <w:tcPr>
            <w:tcW w:w="1415" w:type="dxa"/>
            <w:tcBorders/>
            <w:vAlign w:val="center"/>
          </w:tcPr>
          <w:p>
            <w:pPr>
              <w:pStyle w:val="TableContents"/>
              <w:bidi w:val="0"/>
              <w:spacing w:before="0" w:after="283"/>
              <w:jc w:val="center"/>
              <w:rPr>
                <w:sz w:val="20"/>
              </w:rPr>
            </w:pPr>
            <w:bookmarkStart w:id="11" w:name="xdx_902_edei--CityAreaCode_c20260326__20"/>
            <w:bookmarkEnd w:id="11"/>
            <w:r>
              <w:rPr>
                <w:sz w:val="20"/>
              </w:rPr>
              <w:t xml:space="preserve">+852 </w:t>
            </w:r>
            <w:bookmarkStart w:id="12" w:name="xdx_900_edei--LocalPhoneNumber_c20260326"/>
            <w:bookmarkEnd w:id="12"/>
            <w:r>
              <w:rPr>
                <w:sz w:val="20"/>
              </w:rPr>
              <w:t>2669-8078</w:t>
            </w:r>
          </w:p>
        </w:tc>
      </w:tr>
      <w:tr>
        <w:trPr/>
        <w:tc>
          <w:tcPr>
            <w:tcW w:w="1415" w:type="dxa"/>
            <w:tcBorders>
              <w:bottom w:val="single" w:sz="8" w:space="0" w:color="000000"/>
            </w:tcBorders>
            <w:tcMar>
              <w:bottom w:w="28" w:type="dxa"/>
            </w:tcMar>
            <w:vAlign w:val="center"/>
          </w:tcPr>
          <w:p>
            <w:pPr>
              <w:pStyle w:val="TableContents"/>
              <w:bidi w:val="0"/>
              <w:spacing w:before="0" w:after="283"/>
              <w:jc w:val="center"/>
              <w:rPr/>
            </w:pPr>
            <w:r>
              <w:rPr/>
              <w:t> </w:t>
            </w:r>
          </w:p>
        </w:tc>
      </w:tr>
    </w:tbl>
    <w:p>
      <w:pPr>
        <w:pStyle w:val="TextBody"/>
        <w:bidi w:val="0"/>
        <w:jc w:val="center"/>
        <w:rPr>
          <w:sz w:val="20"/>
        </w:rPr>
      </w:pPr>
      <w:r>
        <w:rPr>
          <w:sz w:val="20"/>
        </w:rPr>
        <w:t>(Former Name or Former Address, if Changed Since Last Report)</w:t>
      </w:r>
    </w:p>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245"/>
        <w:gridCol w:w="60"/>
        <w:gridCol w:w="7295"/>
      </w:tblGrid>
      <w:tr>
        <w:trPr/>
        <w:tc>
          <w:tcPr>
            <w:tcW w:w="245" w:type="dxa"/>
            <w:tcBorders/>
            <w:vAlign w:val="center"/>
          </w:tcPr>
          <w:p>
            <w:pPr>
              <w:pStyle w:val="TableContents"/>
              <w:bidi w:val="0"/>
              <w:spacing w:before="0" w:after="0"/>
              <w:jc w:val="left"/>
              <w:rPr>
                <w:caps w:val="false"/>
                <w:smallCaps w:val="false"/>
                <w:color w:val="000000"/>
              </w:rPr>
            </w:pPr>
            <w:bookmarkStart w:id="13" w:name="xdx_905_edei--WrittenCommunications_c202"/>
            <w:bookmarkEnd w:id="13"/>
            <w:r>
              <w:rPr>
                <w:caps w:val="false"/>
                <w:smallCaps w:val="false"/>
                <w:color w:val="000000"/>
              </w:rPr>
              <w:t>☐</w:t>
            </w:r>
          </w:p>
        </w:tc>
        <w:tc>
          <w:tcPr>
            <w:tcW w:w="60" w:type="dxa"/>
            <w:tcBorders/>
            <w:vAlign w:val="center"/>
          </w:tcPr>
          <w:p>
            <w:pPr>
              <w:pStyle w:val="TableContents"/>
              <w:bidi w:val="0"/>
              <w:spacing w:before="0" w:after="0"/>
              <w:jc w:val="both"/>
              <w:rPr>
                <w:caps w:val="false"/>
                <w:smallCaps w:val="false"/>
              </w:rPr>
            </w:pPr>
            <w:r>
              <w:rPr>
                <w:caps w:val="false"/>
                <w:smallCaps w:val="false"/>
              </w:rPr>
              <w:t> </w:t>
            </w:r>
          </w:p>
        </w:tc>
        <w:tc>
          <w:tcPr>
            <w:tcW w:w="7295" w:type="dxa"/>
            <w:tcBorders/>
            <w:vAlign w:val="center"/>
          </w:tcPr>
          <w:p>
            <w:pPr>
              <w:pStyle w:val="TableContents"/>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Written communications pursuant to Rule 425 under the Securities Act (17 CFR 230.425)</w:t>
            </w:r>
          </w:p>
        </w:tc>
      </w:tr>
    </w:tbl>
    <w:p>
      <w:pPr>
        <w:pStyle w:val="TextBody"/>
        <w:bidi w:val="0"/>
        <w:spacing w:before="0" w:after="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245"/>
        <w:gridCol w:w="60"/>
        <w:gridCol w:w="7325"/>
      </w:tblGrid>
      <w:tr>
        <w:trPr/>
        <w:tc>
          <w:tcPr>
            <w:tcW w:w="245" w:type="dxa"/>
            <w:tcBorders/>
            <w:vAlign w:val="center"/>
          </w:tcPr>
          <w:p>
            <w:pPr>
              <w:pStyle w:val="TableContents"/>
              <w:bidi w:val="0"/>
              <w:spacing w:before="0" w:after="0"/>
              <w:jc w:val="left"/>
              <w:rPr>
                <w:caps w:val="false"/>
                <w:smallCaps w:val="false"/>
                <w:color w:val="000000"/>
              </w:rPr>
            </w:pPr>
            <w:bookmarkStart w:id="14" w:name="xdx_90A_edei--SolicitingMaterial_c202603"/>
            <w:bookmarkEnd w:id="14"/>
            <w:r>
              <w:rPr>
                <w:caps w:val="false"/>
                <w:smallCaps w:val="false"/>
                <w:color w:val="000000"/>
              </w:rPr>
              <w:t>☐</w:t>
            </w:r>
          </w:p>
        </w:tc>
        <w:tc>
          <w:tcPr>
            <w:tcW w:w="60" w:type="dxa"/>
            <w:tcBorders/>
            <w:vAlign w:val="center"/>
          </w:tcPr>
          <w:p>
            <w:pPr>
              <w:pStyle w:val="TableContents"/>
              <w:bidi w:val="0"/>
              <w:spacing w:before="0" w:after="0"/>
              <w:jc w:val="both"/>
              <w:rPr>
                <w:caps w:val="false"/>
                <w:smallCaps w:val="false"/>
              </w:rPr>
            </w:pPr>
            <w:r>
              <w:rPr>
                <w:caps w:val="false"/>
                <w:smallCaps w:val="false"/>
              </w:rPr>
              <w:t> </w:t>
            </w:r>
          </w:p>
        </w:tc>
        <w:tc>
          <w:tcPr>
            <w:tcW w:w="7325" w:type="dxa"/>
            <w:tcBorders/>
            <w:vAlign w:val="center"/>
          </w:tcPr>
          <w:p>
            <w:pPr>
              <w:pStyle w:val="TableContents"/>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Soliciting material pursuant to Rule 14a-12 under the Exchange Act (17 CFR 240.14a-12)</w:t>
            </w:r>
          </w:p>
        </w:tc>
      </w:tr>
    </w:tbl>
    <w:p>
      <w:pPr>
        <w:pStyle w:val="TextBody"/>
        <w:bidi w:val="0"/>
        <w:spacing w:before="0" w:after="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245"/>
        <w:gridCol w:w="60"/>
        <w:gridCol w:w="9065"/>
      </w:tblGrid>
      <w:tr>
        <w:trPr/>
        <w:tc>
          <w:tcPr>
            <w:tcW w:w="245" w:type="dxa"/>
            <w:tcBorders/>
            <w:vAlign w:val="center"/>
          </w:tcPr>
          <w:p>
            <w:pPr>
              <w:pStyle w:val="TableContents"/>
              <w:bidi w:val="0"/>
              <w:spacing w:before="0" w:after="0"/>
              <w:jc w:val="left"/>
              <w:rPr>
                <w:caps w:val="false"/>
                <w:smallCaps w:val="false"/>
                <w:color w:val="000000"/>
              </w:rPr>
            </w:pPr>
            <w:bookmarkStart w:id="15" w:name="xdx_90D_edei--PreCommencementTenderOffer"/>
            <w:bookmarkEnd w:id="15"/>
            <w:r>
              <w:rPr>
                <w:caps w:val="false"/>
                <w:smallCaps w:val="false"/>
                <w:color w:val="000000"/>
              </w:rPr>
              <w:t>☐</w:t>
            </w:r>
          </w:p>
        </w:tc>
        <w:tc>
          <w:tcPr>
            <w:tcW w:w="60" w:type="dxa"/>
            <w:tcBorders/>
            <w:vAlign w:val="center"/>
          </w:tcPr>
          <w:p>
            <w:pPr>
              <w:pStyle w:val="TableContents"/>
              <w:bidi w:val="0"/>
              <w:spacing w:before="0" w:after="0"/>
              <w:jc w:val="both"/>
              <w:rPr>
                <w:caps w:val="false"/>
                <w:smallCaps w:val="false"/>
              </w:rPr>
            </w:pPr>
            <w:r>
              <w:rPr>
                <w:caps w:val="false"/>
                <w:smallCaps w:val="false"/>
              </w:rPr>
              <w:t> </w:t>
            </w:r>
          </w:p>
        </w:tc>
        <w:tc>
          <w:tcPr>
            <w:tcW w:w="9065" w:type="dxa"/>
            <w:tcBorders/>
            <w:vAlign w:val="center"/>
          </w:tcPr>
          <w:p>
            <w:pPr>
              <w:pStyle w:val="TableContents"/>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Pre-commencement communications pursuant to Rule 14d-2(b) under the Exchange Act (17 CFR 240.14d-2(b))</w:t>
            </w:r>
          </w:p>
        </w:tc>
      </w:tr>
    </w:tbl>
    <w:p>
      <w:pPr>
        <w:pStyle w:val="TextBody"/>
        <w:bidi w:val="0"/>
        <w:spacing w:before="0" w:after="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60"/>
        <w:gridCol w:w="9005"/>
      </w:tblGrid>
      <w:tr>
        <w:trPr/>
        <w:tc>
          <w:tcPr>
            <w:tcW w:w="245" w:type="dxa"/>
            <w:tcBorders/>
            <w:vAlign w:val="center"/>
          </w:tcPr>
          <w:p>
            <w:pPr>
              <w:pStyle w:val="TableContents"/>
              <w:bidi w:val="0"/>
              <w:spacing w:before="0" w:after="0"/>
              <w:jc w:val="left"/>
              <w:rPr>
                <w:caps w:val="false"/>
                <w:smallCaps w:val="false"/>
                <w:color w:val="000000"/>
              </w:rPr>
            </w:pPr>
            <w:bookmarkStart w:id="16" w:name="xdx_90F_edei--PreCommencementIssuerTende"/>
            <w:bookmarkEnd w:id="16"/>
            <w:r>
              <w:rPr>
                <w:caps w:val="false"/>
                <w:smallCaps w:val="false"/>
                <w:color w:val="000000"/>
              </w:rPr>
              <w:t>☐</w:t>
            </w:r>
          </w:p>
        </w:tc>
        <w:tc>
          <w:tcPr>
            <w:tcW w:w="60" w:type="dxa"/>
            <w:tcBorders/>
            <w:vAlign w:val="center"/>
          </w:tcPr>
          <w:p>
            <w:pPr>
              <w:pStyle w:val="TableContents"/>
              <w:bidi w:val="0"/>
              <w:spacing w:before="0" w:after="0"/>
              <w:jc w:val="both"/>
              <w:rPr>
                <w:caps w:val="false"/>
                <w:smallCaps w:val="false"/>
              </w:rPr>
            </w:pPr>
            <w:r>
              <w:rPr>
                <w:caps w:val="false"/>
                <w:smallCaps w:val="false"/>
              </w:rPr>
              <w:t> </w:t>
            </w:r>
          </w:p>
        </w:tc>
        <w:tc>
          <w:tcPr>
            <w:tcW w:w="9005" w:type="dxa"/>
            <w:tcBorders/>
            <w:vAlign w:val="center"/>
          </w:tcPr>
          <w:p>
            <w:pPr>
              <w:pStyle w:val="TableContents"/>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bookmarkStart w:id="17" w:name="xdx_90F_edei--EntityEmergingGrowthCompan"/>
      <w:bookmarkEnd w:id="17"/>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jc w:val="left"/>
        <w:rPr>
          <w:caps w:val="false"/>
          <w:smallCaps w:val="false"/>
        </w:rPr>
      </w:pPr>
      <w:r>
        <w:rPr>
          <w:caps w:val="false"/>
          <w:smallCaps w:val="false"/>
        </w:rPr>
        <w:t> </w:t>
      </w:r>
    </w:p>
    <w:tbl>
      <w:tblPr>
        <w:tblW w:w="8190" w:type="dxa"/>
        <w:jc w:val="left"/>
        <w:tblInd w:w="0" w:type="dxa"/>
        <w:tblLayout w:type="fixed"/>
        <w:tblCellMar>
          <w:top w:w="0" w:type="dxa"/>
          <w:left w:w="0" w:type="dxa"/>
          <w:bottom w:w="28" w:type="dxa"/>
          <w:right w:w="0" w:type="dxa"/>
        </w:tblCellMar>
      </w:tblPr>
      <w:tblGrid>
        <w:gridCol w:w="2750"/>
        <w:gridCol w:w="60"/>
        <w:gridCol w:w="1610"/>
        <w:gridCol w:w="60"/>
        <w:gridCol w:w="3710"/>
      </w:tblGrid>
      <w:tr>
        <w:trPr/>
        <w:tc>
          <w:tcPr>
            <w:tcW w:w="2750" w:type="dxa"/>
            <w:tcBorders>
              <w:bottom w:val="single" w:sz="8" w:space="0" w:color="000000"/>
            </w:tcBorders>
            <w:shd w:fill="FFFFFF" w:val="clear"/>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Title of each class</w:t>
            </w:r>
          </w:p>
        </w:tc>
        <w:tc>
          <w:tcPr>
            <w:tcW w:w="60" w:type="dxa"/>
            <w:tcBorders/>
            <w:shd w:fill="FFFFFF" w:val="clear"/>
            <w:tcMar>
              <w:bottom w:w="0" w:type="dxa"/>
            </w:tcMar>
            <w:vAlign w:val="center"/>
          </w:tcPr>
          <w:p>
            <w:pPr>
              <w:pStyle w:val="TableContents"/>
              <w:bidi w:val="0"/>
              <w:spacing w:before="0" w:after="0"/>
              <w:jc w:val="left"/>
              <w:rPr>
                <w:caps w:val="false"/>
                <w:smallCaps w:val="false"/>
                <w:color w:val="000000"/>
              </w:rPr>
            </w:pPr>
            <w:r>
              <w:rPr>
                <w:caps w:val="false"/>
                <w:smallCaps w:val="false"/>
                <w:color w:val="000000"/>
              </w:rPr>
              <w:t> </w:t>
            </w:r>
          </w:p>
        </w:tc>
        <w:tc>
          <w:tcPr>
            <w:tcW w:w="1610" w:type="dxa"/>
            <w:tcBorders>
              <w:bottom w:val="single" w:sz="8" w:space="0" w:color="000000"/>
            </w:tcBorders>
            <w:shd w:fill="FFFFFF" w:val="clear"/>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Trading Symbol(s)</w:t>
            </w:r>
          </w:p>
        </w:tc>
        <w:tc>
          <w:tcPr>
            <w:tcW w:w="60" w:type="dxa"/>
            <w:tcBorders/>
            <w:shd w:fill="FFFFFF" w:val="clear"/>
            <w:tcMar>
              <w:bottom w:w="0" w:type="dxa"/>
            </w:tcMar>
            <w:vAlign w:val="center"/>
          </w:tcPr>
          <w:p>
            <w:pPr>
              <w:pStyle w:val="TableContents"/>
              <w:bidi w:val="0"/>
              <w:spacing w:before="0" w:after="0"/>
              <w:jc w:val="left"/>
              <w:rPr>
                <w:caps w:val="false"/>
                <w:smallCaps w:val="false"/>
                <w:color w:val="000000"/>
              </w:rPr>
            </w:pPr>
            <w:r>
              <w:rPr>
                <w:caps w:val="false"/>
                <w:smallCaps w:val="false"/>
                <w:color w:val="000000"/>
              </w:rPr>
              <w:t> </w:t>
            </w:r>
          </w:p>
        </w:tc>
        <w:tc>
          <w:tcPr>
            <w:tcW w:w="3710" w:type="dxa"/>
            <w:tcBorders>
              <w:bottom w:val="single" w:sz="8" w:space="0" w:color="000000"/>
            </w:tcBorders>
            <w:shd w:fill="FFFFFF" w:val="clear"/>
            <w:vAlign w:val="center"/>
          </w:tcPr>
          <w:p>
            <w:pPr>
              <w:pStyle w:val="TableContents"/>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Name of each exchange on which registered</w:t>
            </w:r>
          </w:p>
        </w:tc>
      </w:tr>
      <w:tr>
        <w:trPr/>
        <w:tc>
          <w:tcPr>
            <w:tcW w:w="2750" w:type="dxa"/>
            <w:tcBorders/>
            <w:shd w:fill="FFFFFF" w:val="clear"/>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bookmarkStart w:id="18" w:name="xdx_907_edei--Security12bTitle_c20260326"/>
            <w:bookmarkEnd w:id="18"/>
            <w:r>
              <w:rPr>
                <w:rFonts w:ascii="Times New Roman;Times;Serif" w:hAnsi="Times New Roman;Times;Serif"/>
                <w:b w:val="false"/>
                <w:i w:val="false"/>
                <w:caps w:val="false"/>
                <w:smallCaps w:val="false"/>
                <w:color w:val="000000"/>
                <w:sz w:val="20"/>
              </w:rPr>
              <w:t>Common Stock, par value $0.001</w:t>
            </w:r>
          </w:p>
        </w:tc>
        <w:tc>
          <w:tcPr>
            <w:tcW w:w="60" w:type="dxa"/>
            <w:tcBorders/>
            <w:shd w:fill="FFFFFF" w:val="clear"/>
            <w:tcMar>
              <w:bottom w:w="0" w:type="dxa"/>
            </w:tcMar>
            <w:vAlign w:val="center"/>
          </w:tcPr>
          <w:p>
            <w:pPr>
              <w:pStyle w:val="TableContents"/>
              <w:bidi w:val="0"/>
              <w:spacing w:before="0" w:after="0"/>
              <w:jc w:val="left"/>
              <w:rPr>
                <w:caps w:val="false"/>
                <w:smallCaps w:val="false"/>
                <w:color w:val="000000"/>
              </w:rPr>
            </w:pPr>
            <w:r>
              <w:rPr>
                <w:caps w:val="false"/>
                <w:smallCaps w:val="false"/>
                <w:color w:val="000000"/>
              </w:rPr>
              <w:t> </w:t>
            </w:r>
          </w:p>
        </w:tc>
        <w:tc>
          <w:tcPr>
            <w:tcW w:w="1610" w:type="dxa"/>
            <w:tcBorders/>
            <w:shd w:fill="FFFFFF" w:val="clear"/>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color w:val="000000"/>
                <w:sz w:val="20"/>
              </w:rPr>
            </w:pPr>
            <w:bookmarkStart w:id="19" w:name="xdx_905_edei--TradingSymbol_c20260326__2"/>
            <w:bookmarkEnd w:id="19"/>
            <w:r>
              <w:rPr>
                <w:rFonts w:ascii="Times New Roman;Times;Serif" w:hAnsi="Times New Roman;Times;Serif"/>
                <w:b w:val="false"/>
                <w:i w:val="false"/>
                <w:caps w:val="false"/>
                <w:smallCaps w:val="false"/>
                <w:color w:val="000000"/>
                <w:sz w:val="20"/>
              </w:rPr>
              <w:t>CNET</w:t>
            </w:r>
          </w:p>
        </w:tc>
        <w:tc>
          <w:tcPr>
            <w:tcW w:w="60" w:type="dxa"/>
            <w:tcBorders/>
            <w:shd w:fill="FFFFFF" w:val="clear"/>
            <w:tcMar>
              <w:bottom w:w="0" w:type="dxa"/>
            </w:tcMar>
            <w:vAlign w:val="center"/>
          </w:tcPr>
          <w:p>
            <w:pPr>
              <w:pStyle w:val="TableContents"/>
              <w:bidi w:val="0"/>
              <w:spacing w:before="0" w:after="0"/>
              <w:jc w:val="left"/>
              <w:rPr>
                <w:caps w:val="false"/>
                <w:smallCaps w:val="false"/>
                <w:color w:val="000000"/>
              </w:rPr>
            </w:pPr>
            <w:r>
              <w:rPr>
                <w:caps w:val="false"/>
                <w:smallCaps w:val="false"/>
                <w:color w:val="000000"/>
              </w:rPr>
              <w:t> </w:t>
            </w:r>
          </w:p>
        </w:tc>
        <w:tc>
          <w:tcPr>
            <w:tcW w:w="3710" w:type="dxa"/>
            <w:tcBorders/>
            <w:shd w:fill="FFFFFF" w:val="clear"/>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2"/>
              </w:rPr>
            </w:pPr>
            <w:bookmarkStart w:id="20" w:name="xdx_906_edei--SecurityExchangeName_c2026"/>
            <w:bookmarkEnd w:id="20"/>
            <w:r>
              <w:rPr>
                <w:rFonts w:ascii="Times New Roman;Times;Serif" w:hAnsi="Times New Roman;Times;Serif"/>
                <w:b w:val="false"/>
                <w:i w:val="false"/>
                <w:caps w:val="false"/>
                <w:smallCaps w:val="false"/>
                <w:color w:val="000000"/>
                <w:sz w:val="20"/>
              </w:rPr>
              <w:t>NASDAQ</w:t>
            </w:r>
            <w:r>
              <w:rPr>
                <w:rFonts w:ascii="Times New Roman;Times;Serif" w:hAnsi="Times New Roman;Times;Serif"/>
                <w:b w:val="false"/>
                <w:i w:val="false"/>
                <w:caps w:val="false"/>
                <w:smallCaps w:val="false"/>
                <w:sz w:val="22"/>
              </w:rPr>
              <w:t xml:space="preserve"> </w:t>
            </w:r>
            <w:r>
              <w:rPr>
                <w:rFonts w:ascii="Times New Roman;Times;Serif" w:hAnsi="Times New Roman;Times;Serif"/>
                <w:b w:val="false"/>
                <w:i w:val="false"/>
                <w:caps w:val="false"/>
                <w:smallCaps w:val="false"/>
                <w:sz w:val="20"/>
              </w:rPr>
              <w:t>Capital Market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On March 26, 2026, ZW Data Action Technologies Inc., a Nevada corporation (the “Company”) received a notice in the form of a letter (“Deficiency Letter”) from the Nasdaq Listing Qualifications Department (the “Staff”) of The Nasdaq Stock Market LLC (“Nasdaq”) stating that the Company was not in compliance with Nasdaq Listing Rule 5550(a)(2) because the bid price for the Company’s common stock had closed below $1.00 per share for the previous 30 consecutive business days (the “Minimum Bid Price Requirement”).</w:t>
      </w:r>
    </w:p>
    <w:p>
      <w:pPr>
        <w:pStyle w:val="TextBody"/>
        <w:shd w:fill="FFFFFF" w:val="clear"/>
        <w:bidi w:val="0"/>
        <w:spacing w:before="0" w:after="0"/>
        <w:jc w:val="both"/>
        <w:rPr>
          <w:caps w:val="false"/>
          <w:smallCaps w:val="false"/>
          <w:color w:val="000000"/>
        </w:rPr>
      </w:pPr>
      <w:r>
        <w:rPr>
          <w:caps w:val="false"/>
          <w:smallCaps w:val="false"/>
          <w:color w:val="000000"/>
        </w:rPr>
        <w:t> </w:t>
      </w:r>
    </w:p>
    <w:p>
      <w:pPr>
        <w:pStyle w:val="TextBody"/>
        <w:shd w:fill="FFFFFF" w:val="clear"/>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Nasdaq Deficiency Letter has no immediate effect on the listing of the Company’s common stock, and its common stock will continue to trade on The Nasdaq Capital Market under the symbol “CNET” at this time.</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accordance with Nasdaq Listing Rule 5810(c)(3)(A), the Company has been given 180 calendar days, or until September 22, 2026, to regain compliance with the Minimum Bid Price Requirement. If at any time before September 22, 2026, the bid price of the Company’s common stock closes at $1.00 per share or more for a minimum of 10 consecutive business days, the Staff will provide written confirmation that the Company has achieved compliance.</w:t>
      </w:r>
    </w:p>
    <w:p>
      <w:pPr>
        <w:pStyle w:val="TextBody"/>
        <w:bidi w:val="0"/>
        <w:spacing w:before="0" w:after="0"/>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the event the Company does not regain compliance, the Company may be eligible for additional time. To qualify, the Company will be required to meet the continued listing requirement for market value of publicly held shares and all other initial listing standards for The Nasdaq Capital Market, with the exception of the bid price requirement, and will need to provide written notice of its intention to cure the deficiency during the second compliance period, by effecting a reverse stock split, if necessary. If the Company meets these requirements, the Staff will inform the Company that it has been granted an additional 180 calendar days. However, if it appears to Staff that the Company will not be able to cure the deficiency, or if the Company is otherwise not eligible, the Staff will provide notice that its securities will be subject to delisting.</w:t>
      </w:r>
    </w:p>
    <w:p>
      <w:pPr>
        <w:pStyle w:val="TextBody"/>
        <w:bidi w:val="0"/>
        <w:spacing w:before="0" w:after="0"/>
        <w:ind w:left="0" w:right="0" w:firstLine="816"/>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If the Company does not regain compliance by September 22, 2026, the Nasdaq Staff will provide written notice to the Company that its securities are subject to delisting. At that time, the Company may appeal any such delisting determination to a Nasdaq hearings panel.</w:t>
      </w:r>
    </w:p>
    <w:p>
      <w:pPr>
        <w:pStyle w:val="TextBody"/>
        <w:bidi w:val="0"/>
        <w:spacing w:before="0" w:after="0"/>
        <w:ind w:left="0" w:right="0" w:firstLine="816"/>
        <w:jc w:val="both"/>
        <w:rPr>
          <w:caps w:val="false"/>
          <w:smallCaps w:val="false"/>
          <w:color w:val="000000"/>
        </w:rPr>
      </w:pPr>
      <w:r>
        <w:rPr>
          <w:caps w:val="false"/>
          <w:smallCaps w:val="false"/>
          <w:color w:val="000000"/>
        </w:rPr>
        <w:t> </w:t>
      </w:r>
    </w:p>
    <w:p>
      <w:pPr>
        <w:pStyle w:val="TextBody"/>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intends to actively monitor the closing bid price for the Company’s common stock between now and September 22, 2026 and may, if appropriate, evaluate available options to resolve the deficiency and regain compliance with the Minimum Bid Price Requirement. While the Company is exercising diligent efforts to maintain the listing of its common stock on Nasdaq, there can be no assurance that the Company will be able to regain or maintain compliance with Nasdaq listing standards.</w:t>
      </w:r>
    </w:p>
    <w:p>
      <w:pPr>
        <w:pStyle w:val="TextBody"/>
        <w:shd w:fill="FFFFFF" w:val="clear"/>
        <w:bidi w:val="0"/>
        <w:spacing w:before="0" w:after="0"/>
        <w:jc w:val="both"/>
        <w:rPr>
          <w:caps w:val="false"/>
          <w:smallCaps w:val="false"/>
          <w:color w:val="000000"/>
        </w:rPr>
      </w:pPr>
      <w:r>
        <w:rPr>
          <w:caps w:val="false"/>
          <w:smallCaps w:val="false"/>
          <w:color w:val="000000"/>
        </w:rPr>
        <w:t> </w:t>
      </w:r>
    </w:p>
    <w:p>
      <w:pPr>
        <w:pStyle w:val="TextBody"/>
        <w:shd w:fill="FFFFFF" w:val="clear"/>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by filing this Form 8-K, discloses its receipt of the Nasdaq Deficiency Letter regarding the Minimum Bid Price Requirement in accordance with Nasdaq Listing Rule 5810(b).</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Forward Looking Statements</w:t>
      </w:r>
    </w:p>
    <w:p>
      <w:pPr>
        <w:pStyle w:val="TextBody"/>
        <w:shd w:fill="FFFFFF" w:val="clear"/>
        <w:bidi w:val="0"/>
        <w:spacing w:before="0" w:after="0"/>
        <w:jc w:val="left"/>
        <w:rPr>
          <w:caps w:val="false"/>
          <w:smallCaps w:val="false"/>
          <w:color w:val="000000"/>
        </w:rPr>
      </w:pPr>
      <w:r>
        <w:rPr>
          <w:caps w:val="false"/>
          <w:smallCaps w:val="false"/>
          <w:color w:val="000000"/>
        </w:rPr>
        <w:t> </w:t>
      </w:r>
    </w:p>
    <w:p>
      <w:pPr>
        <w:pStyle w:val="TextBody"/>
        <w:shd w:fill="FFFFFF" w:val="clear"/>
        <w:bidi w:val="0"/>
        <w:spacing w:before="0" w:after="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Certain information contained in this report consists of forward-looking statements within the meaning of the Private Securities Litigation Reform Act of 1995 that involve risks, uncertainties and assumptions that are difficult to predict. Words such as “will,” “would,” “may,” “intends,” “potential,” and similar expressions, or the use of future tense, identify forward-looking statements, but their absence does not mean that a statement is not forward-looking. Such forward-looking statements are not guarantees of performance and actual actions or events could differ materially from those contained in such statements. For example, there can be no assurance that the Company will regain compliance with the Rule during any compliance period or in the future, or otherwise meet Nasdaq compliance standards, that the Company will be eligible for a second compliance period, or that Nasdaq will grant the Company any relief from delisting as necessary or that the Company can ultimately meet applicable Nasdaq requirements for any such relief. The forward-looking statements contained in this report speak only as of the date of this report and the Company undertakes no obligation to publicly update any forward-looking statements to reflect changes in information, events or circumstances after the date of this report, unless required by law.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caps w:val="false"/>
          <w:smallCaps w:val="false"/>
        </w:rPr>
      </w:pPr>
      <w:r>
        <w:rPr>
          <w:caps w:val="false"/>
          <w:smallCaps w:val="false"/>
        </w:rPr>
        <w:t> </w:t>
      </w:r>
    </w:p>
    <w:tbl>
      <w:tblPr>
        <w:tblW w:w="7530" w:type="dxa"/>
        <w:jc w:val="left"/>
        <w:tblInd w:w="0" w:type="dxa"/>
        <w:tblLayout w:type="fixed"/>
        <w:tblCellMar>
          <w:top w:w="0" w:type="dxa"/>
          <w:left w:w="0" w:type="dxa"/>
          <w:bottom w:w="0" w:type="dxa"/>
          <w:right w:w="0" w:type="dxa"/>
        </w:tblCellMar>
      </w:tblPr>
      <w:tblGrid>
        <w:gridCol w:w="1910"/>
        <w:gridCol w:w="320"/>
        <w:gridCol w:w="5300"/>
      </w:tblGrid>
      <w:tr>
        <w:trPr/>
        <w:tc>
          <w:tcPr>
            <w:tcW w:w="1910" w:type="dxa"/>
            <w:tcBorders/>
            <w:vAlign w:val="center"/>
          </w:tcPr>
          <w:p>
            <w:pPr>
              <w:pStyle w:val="TableContents"/>
              <w:bidi w:val="0"/>
              <w:spacing w:before="0" w:after="0"/>
              <w:jc w:val="left"/>
              <w:rPr>
                <w:caps w:val="false"/>
                <w:smallCaps w:val="false"/>
                <w:color w:val="000000"/>
              </w:rPr>
            </w:pPr>
            <w:r>
              <w:rPr>
                <w:caps w:val="false"/>
                <w:smallCaps w:val="false"/>
                <w:color w:val="000000"/>
              </w:rPr>
              <w:t> </w:t>
            </w:r>
          </w:p>
        </w:tc>
        <w:tc>
          <w:tcPr>
            <w:tcW w:w="5620" w:type="dxa"/>
            <w:gridSpan w:val="2"/>
            <w:tcBorders/>
            <w:vAlign w:val="center"/>
          </w:tcPr>
          <w:p>
            <w:pPr>
              <w:pStyle w:val="TableContents"/>
              <w:bidi w:val="0"/>
              <w:spacing w:before="0" w:after="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ZW DATA ACTION TECHNOLOGIES INC.</w:t>
            </w:r>
          </w:p>
        </w:tc>
      </w:tr>
      <w:tr>
        <w:trPr/>
        <w:tc>
          <w:tcPr>
            <w:tcW w:w="1910" w:type="dxa"/>
            <w:tcBorders/>
            <w:vAlign w:val="center"/>
          </w:tcPr>
          <w:p>
            <w:pPr>
              <w:pStyle w:val="TableContents"/>
              <w:bidi w:val="0"/>
              <w:spacing w:before="0" w:after="0"/>
              <w:jc w:val="left"/>
              <w:rPr>
                <w:caps w:val="false"/>
                <w:smallCaps w:val="false"/>
                <w:color w:val="000000"/>
              </w:rPr>
            </w:pPr>
            <w:r>
              <w:rPr>
                <w:caps w:val="false"/>
                <w:smallCaps w:val="false"/>
                <w:color w:val="000000"/>
              </w:rPr>
              <w:t> </w:t>
            </w:r>
          </w:p>
        </w:tc>
        <w:tc>
          <w:tcPr>
            <w:tcW w:w="5620" w:type="dxa"/>
            <w:gridSpan w:val="2"/>
            <w:tcBorders/>
            <w:vAlign w:val="center"/>
          </w:tcPr>
          <w:p>
            <w:pPr>
              <w:pStyle w:val="TableContents"/>
              <w:bidi w:val="0"/>
              <w:spacing w:before="0" w:after="0"/>
              <w:jc w:val="left"/>
              <w:rPr>
                <w:caps w:val="false"/>
                <w:smallCaps w:val="false"/>
                <w:color w:val="000000"/>
              </w:rPr>
            </w:pPr>
            <w:r>
              <w:rPr>
                <w:caps w:val="false"/>
                <w:smallCaps w:val="false"/>
                <w:color w:val="000000"/>
              </w:rPr>
              <w:t> </w:t>
            </w:r>
          </w:p>
        </w:tc>
      </w:tr>
      <w:tr>
        <w:trPr/>
        <w:tc>
          <w:tcPr>
            <w:tcW w:w="1910" w:type="dxa"/>
            <w:tcBorders/>
            <w:vAlign w:val="center"/>
          </w:tcPr>
          <w:p>
            <w:pPr>
              <w:pStyle w:val="TableContents"/>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Dated: March 27, 2026</w:t>
            </w:r>
          </w:p>
        </w:tc>
        <w:tc>
          <w:tcPr>
            <w:tcW w:w="5620" w:type="dxa"/>
            <w:gridSpan w:val="2"/>
            <w:tcBorders/>
            <w:vAlign w:val="center"/>
          </w:tcPr>
          <w:p>
            <w:pPr>
              <w:pStyle w:val="TableContents"/>
              <w:bidi w:val="0"/>
              <w:spacing w:before="0" w:after="0"/>
              <w:jc w:val="left"/>
              <w:rPr>
                <w:caps w:val="false"/>
                <w:smallCaps w:val="false"/>
                <w:color w:val="000000"/>
              </w:rPr>
            </w:pPr>
            <w:r>
              <w:rPr>
                <w:caps w:val="false"/>
                <w:smallCaps w:val="false"/>
                <w:color w:val="000000"/>
              </w:rPr>
              <w:t> </w:t>
            </w:r>
          </w:p>
        </w:tc>
      </w:tr>
      <w:tr>
        <w:trPr/>
        <w:tc>
          <w:tcPr>
            <w:tcW w:w="1910" w:type="dxa"/>
            <w:tcBorders/>
            <w:vAlign w:val="center"/>
          </w:tcPr>
          <w:p>
            <w:pPr>
              <w:pStyle w:val="TableContents"/>
              <w:bidi w:val="0"/>
              <w:spacing w:before="0" w:after="0"/>
              <w:jc w:val="left"/>
              <w:rPr>
                <w:caps w:val="false"/>
                <w:smallCaps w:val="false"/>
                <w:color w:val="000000"/>
              </w:rPr>
            </w:pPr>
            <w:r>
              <w:rPr>
                <w:caps w:val="false"/>
                <w:smallCaps w:val="false"/>
                <w:color w:val="000000"/>
              </w:rPr>
              <w:t> </w:t>
            </w:r>
          </w:p>
        </w:tc>
        <w:tc>
          <w:tcPr>
            <w:tcW w:w="320" w:type="dxa"/>
            <w:tcBorders/>
            <w:vAlign w:val="center"/>
          </w:tcPr>
          <w:p>
            <w:pPr>
              <w:pStyle w:val="TableContents"/>
              <w:bidi w:val="0"/>
              <w:spacing w:before="0" w:after="0"/>
              <w:jc w:val="left"/>
              <w:rPr>
                <w:caps w:val="false"/>
                <w:smallCaps w:val="false"/>
                <w:color w:val="000000"/>
              </w:rPr>
            </w:pPr>
            <w:r>
              <w:rPr>
                <w:caps w:val="false"/>
                <w:smallCaps w:val="false"/>
                <w:color w:val="000000"/>
              </w:rPr>
              <w:t> </w:t>
            </w:r>
          </w:p>
        </w:tc>
        <w:tc>
          <w:tcPr>
            <w:tcW w:w="5300" w:type="dxa"/>
            <w:tcBorders/>
            <w:vAlign w:val="center"/>
          </w:tcPr>
          <w:p>
            <w:pPr>
              <w:pStyle w:val="TableContents"/>
              <w:bidi w:val="0"/>
              <w:spacing w:before="0" w:after="0"/>
              <w:jc w:val="left"/>
              <w:rPr>
                <w:caps w:val="false"/>
                <w:smallCaps w:val="false"/>
                <w:color w:val="000000"/>
              </w:rPr>
            </w:pPr>
            <w:r>
              <w:rPr>
                <w:caps w:val="false"/>
                <w:smallCaps w:val="false"/>
                <w:color w:val="000000"/>
              </w:rPr>
              <w:t> </w:t>
            </w:r>
          </w:p>
        </w:tc>
      </w:tr>
      <w:tr>
        <w:trPr/>
        <w:tc>
          <w:tcPr>
            <w:tcW w:w="1910" w:type="dxa"/>
            <w:tcBorders/>
            <w:vAlign w:val="center"/>
          </w:tcPr>
          <w:p>
            <w:pPr>
              <w:pStyle w:val="TableContents"/>
              <w:bidi w:val="0"/>
              <w:spacing w:before="0" w:after="0"/>
              <w:jc w:val="left"/>
              <w:rPr>
                <w:caps w:val="false"/>
                <w:smallCaps w:val="false"/>
                <w:color w:val="000000"/>
              </w:rPr>
            </w:pPr>
            <w:r>
              <w:rPr>
                <w:caps w:val="false"/>
                <w:smallCaps w:val="false"/>
                <w:color w:val="000000"/>
              </w:rPr>
              <w:t> </w:t>
            </w:r>
          </w:p>
        </w:tc>
        <w:tc>
          <w:tcPr>
            <w:tcW w:w="320" w:type="dxa"/>
            <w:tcBorders/>
            <w:vAlign w:val="center"/>
          </w:tcPr>
          <w:p>
            <w:pPr>
              <w:pStyle w:val="TableContents"/>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By:</w:t>
            </w:r>
          </w:p>
        </w:tc>
        <w:tc>
          <w:tcPr>
            <w:tcW w:w="5300" w:type="dxa"/>
            <w:tcBorders>
              <w:bottom w:val="single" w:sz="8" w:space="0" w:color="000000"/>
            </w:tcBorders>
            <w:tcMar>
              <w:bottom w:w="28" w:type="dxa"/>
            </w:tcMar>
            <w:vAlign w:val="center"/>
          </w:tcPr>
          <w:p>
            <w:pPr>
              <w:pStyle w:val="TableContents"/>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Handong Cheng</w:t>
            </w:r>
          </w:p>
        </w:tc>
      </w:tr>
      <w:tr>
        <w:trPr/>
        <w:tc>
          <w:tcPr>
            <w:tcW w:w="1910" w:type="dxa"/>
            <w:tcBorders/>
            <w:vAlign w:val="center"/>
          </w:tcPr>
          <w:p>
            <w:pPr>
              <w:pStyle w:val="TableContents"/>
              <w:bidi w:val="0"/>
              <w:spacing w:before="0" w:after="0"/>
              <w:jc w:val="left"/>
              <w:rPr>
                <w:caps w:val="false"/>
                <w:smallCaps w:val="false"/>
                <w:color w:val="000000"/>
              </w:rPr>
            </w:pPr>
            <w:r>
              <w:rPr>
                <w:caps w:val="false"/>
                <w:smallCaps w:val="false"/>
                <w:color w:val="000000"/>
              </w:rPr>
              <w:t> </w:t>
            </w:r>
          </w:p>
        </w:tc>
        <w:tc>
          <w:tcPr>
            <w:tcW w:w="320" w:type="dxa"/>
            <w:tcBorders/>
            <w:vAlign w:val="center"/>
          </w:tcPr>
          <w:p>
            <w:pPr>
              <w:pStyle w:val="TableContents"/>
              <w:bidi w:val="0"/>
              <w:spacing w:before="0" w:after="0"/>
              <w:jc w:val="left"/>
              <w:rPr>
                <w:caps w:val="false"/>
                <w:smallCaps w:val="false"/>
                <w:color w:val="000000"/>
              </w:rPr>
            </w:pPr>
            <w:r>
              <w:rPr>
                <w:caps w:val="false"/>
                <w:smallCaps w:val="false"/>
                <w:color w:val="000000"/>
              </w:rPr>
              <w:t> </w:t>
            </w:r>
          </w:p>
        </w:tc>
        <w:tc>
          <w:tcPr>
            <w:tcW w:w="5300" w:type="dxa"/>
            <w:tcBorders/>
            <w:vAlign w:val="center"/>
          </w:tcPr>
          <w:p>
            <w:pPr>
              <w:pStyle w:val="TableContents"/>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Name: Handong Cheng</w:t>
            </w:r>
          </w:p>
        </w:tc>
      </w:tr>
      <w:tr>
        <w:trPr/>
        <w:tc>
          <w:tcPr>
            <w:tcW w:w="1910" w:type="dxa"/>
            <w:tcBorders/>
            <w:vAlign w:val="center"/>
          </w:tcPr>
          <w:p>
            <w:pPr>
              <w:pStyle w:val="TableContents"/>
              <w:bidi w:val="0"/>
              <w:spacing w:before="0" w:after="0"/>
              <w:jc w:val="left"/>
              <w:rPr>
                <w:caps w:val="false"/>
                <w:smallCaps w:val="false"/>
                <w:color w:val="000000"/>
              </w:rPr>
            </w:pPr>
            <w:r>
              <w:rPr>
                <w:caps w:val="false"/>
                <w:smallCaps w:val="false"/>
                <w:color w:val="000000"/>
              </w:rPr>
              <w:t> </w:t>
            </w:r>
          </w:p>
        </w:tc>
        <w:tc>
          <w:tcPr>
            <w:tcW w:w="320" w:type="dxa"/>
            <w:tcBorders/>
            <w:vAlign w:val="center"/>
          </w:tcPr>
          <w:p>
            <w:pPr>
              <w:pStyle w:val="TableContents"/>
              <w:bidi w:val="0"/>
              <w:spacing w:before="0" w:after="0"/>
              <w:jc w:val="left"/>
              <w:rPr>
                <w:caps w:val="false"/>
                <w:smallCaps w:val="false"/>
                <w:color w:val="000000"/>
              </w:rPr>
            </w:pPr>
            <w:r>
              <w:rPr>
                <w:caps w:val="false"/>
                <w:smallCaps w:val="false"/>
                <w:color w:val="000000"/>
              </w:rPr>
              <w:t> </w:t>
            </w:r>
          </w:p>
        </w:tc>
        <w:tc>
          <w:tcPr>
            <w:tcW w:w="5300" w:type="dxa"/>
            <w:tcBorders/>
            <w:vAlign w:val="center"/>
          </w:tcPr>
          <w:p>
            <w:pPr>
              <w:pStyle w:val="TableContents"/>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Title: Chief Executive Officer and Acting 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1075</Words>
  <Characters>5819</Characters>
  <CharactersWithSpaces>6904</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